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481555">
        <w:t xml:space="preserve"> № 34</w:t>
      </w:r>
      <w:bookmarkStart w:id="0" w:name="_GoBack"/>
      <w:bookmarkEnd w:id="0"/>
    </w:p>
    <w:p w:rsidR="00A46235" w:rsidRPr="00B45016" w:rsidRDefault="006E396A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10</w:t>
      </w:r>
      <w:r w:rsidR="00A46235">
        <w:t>.02.2021р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A46235" w:rsidRPr="00A46235" w:rsidRDefault="00A46235">
      <w:pPr>
        <w:spacing w:line="276" w:lineRule="exact"/>
        <w:ind w:left="2049" w:right="2065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</w:t>
      </w:r>
      <w:r w:rsidRPr="00A46235">
        <w:rPr>
          <w:color w:val="000000" w:themeColor="text1"/>
          <w:sz w:val="32"/>
          <w:szCs w:val="32"/>
        </w:rPr>
        <w:t>ентралізоване водопостачання</w:t>
      </w:r>
    </w:p>
    <w:p w:rsidR="002F4F9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A46235">
        <w:rPr>
          <w:b/>
          <w:color w:val="000000" w:themeColor="text1"/>
          <w:sz w:val="24"/>
        </w:rPr>
        <w:t>ДК 021:2015:65110000-7: Розподіл води</w:t>
      </w:r>
    </w:p>
    <w:p w:rsidR="00A46235" w:rsidRPr="00522AF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6E396A">
        <w:rPr>
          <w:sz w:val="24"/>
          <w:szCs w:val="24"/>
        </w:rPr>
        <w:t>09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A46235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46235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46235" w:rsidRPr="00A46235">
        <w:rPr>
          <w:sz w:val="24"/>
          <w:szCs w:val="24"/>
        </w:rPr>
        <w:t>централізоване водопостачання</w:t>
      </w:r>
    </w:p>
    <w:p w:rsidR="00481555" w:rsidRDefault="005B6BA7" w:rsidP="005B6BA7">
      <w:pPr>
        <w:pStyle w:val="a6"/>
        <w:ind w:firstLine="720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481555" w:rsidRPr="00481555">
        <w:rPr>
          <w:color w:val="454545"/>
          <w:sz w:val="24"/>
          <w:szCs w:val="24"/>
        </w:rPr>
        <w:t>124 метри кубічні</w:t>
      </w:r>
    </w:p>
    <w:p w:rsidR="00EA69F1" w:rsidRDefault="006E396A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2.3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A46235" w:rsidRPr="00A46235">
        <w:rPr>
          <w:spacing w:val="-21"/>
          <w:sz w:val="24"/>
          <w:szCs w:val="24"/>
        </w:rPr>
        <w:t>до 31 березня 2021</w:t>
      </w:r>
      <w:r w:rsidR="00A46235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481555" w:rsidRDefault="00481555" w:rsidP="00DF1397">
      <w:pPr>
        <w:pStyle w:val="a6"/>
        <w:ind w:firstLine="720"/>
        <w:jc w:val="both"/>
        <w:rPr>
          <w:sz w:val="24"/>
          <w:szCs w:val="24"/>
          <w:lang w:val="ru-RU"/>
        </w:rPr>
      </w:pPr>
      <w:r w:rsidRPr="00481555">
        <w:rPr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20.04.2000р. № 1682-III природна монополія –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</w:t>
      </w:r>
      <w:r w:rsidRPr="00481555">
        <w:rPr>
          <w:sz w:val="24"/>
          <w:szCs w:val="24"/>
        </w:rPr>
        <w:br/>
        <w:t>Відповідно до частини 2 статті 5 Закону України «Про природні монополії» перелік суб’єктів природних монополій складається та ведеться Антимонопольним комітетом України відповідно до його повноважень.</w:t>
      </w:r>
      <w:r>
        <w:rPr>
          <w:sz w:val="24"/>
          <w:szCs w:val="24"/>
          <w:lang w:val="ru-RU"/>
        </w:rPr>
        <w:t xml:space="preserve"> </w:t>
      </w:r>
    </w:p>
    <w:p w:rsidR="00481555" w:rsidRDefault="00481555" w:rsidP="00DF1397">
      <w:pPr>
        <w:pStyle w:val="a6"/>
        <w:ind w:firstLine="720"/>
        <w:jc w:val="both"/>
        <w:rPr>
          <w:sz w:val="24"/>
          <w:szCs w:val="24"/>
          <w:lang w:val="ru-RU"/>
        </w:rPr>
      </w:pPr>
      <w:r w:rsidRPr="00481555">
        <w:rPr>
          <w:sz w:val="24"/>
          <w:szCs w:val="24"/>
        </w:rPr>
        <w:t>На підставі даних, оприлюднених на сайті Антимонопольного комітету України, відповідно до «Зведеного переліку суб’єктів природних монополій» станом на 31.12.2020 року за номером 96, Комунальне підприємство “</w:t>
      </w:r>
      <w:proofErr w:type="spellStart"/>
      <w:r w:rsidRPr="00481555">
        <w:rPr>
          <w:sz w:val="24"/>
          <w:szCs w:val="24"/>
        </w:rPr>
        <w:t>Проходівське</w:t>
      </w:r>
      <w:proofErr w:type="spellEnd"/>
      <w:r w:rsidRPr="00481555">
        <w:rPr>
          <w:sz w:val="24"/>
          <w:szCs w:val="24"/>
        </w:rPr>
        <w:t xml:space="preserve"> джерело” (код ЄДРПОУ 34793588, 62330, Харківська область, с </w:t>
      </w:r>
      <w:proofErr w:type="spellStart"/>
      <w:r w:rsidRPr="00481555">
        <w:rPr>
          <w:sz w:val="24"/>
          <w:szCs w:val="24"/>
        </w:rPr>
        <w:t>.Малі</w:t>
      </w:r>
      <w:proofErr w:type="spellEnd"/>
      <w:r w:rsidRPr="00481555">
        <w:rPr>
          <w:sz w:val="24"/>
          <w:szCs w:val="24"/>
        </w:rPr>
        <w:t xml:space="preserve"> Проходи, вул. Конєва, 52А)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Комунального підприємства “</w:t>
      </w:r>
      <w:proofErr w:type="spellStart"/>
      <w:r w:rsidRPr="00481555">
        <w:rPr>
          <w:sz w:val="24"/>
          <w:szCs w:val="24"/>
        </w:rPr>
        <w:t>Проходівське</w:t>
      </w:r>
      <w:proofErr w:type="spellEnd"/>
      <w:r w:rsidRPr="00481555">
        <w:rPr>
          <w:sz w:val="24"/>
          <w:szCs w:val="24"/>
        </w:rPr>
        <w:t xml:space="preserve"> джерело”.</w:t>
      </w:r>
      <w:r>
        <w:rPr>
          <w:sz w:val="24"/>
          <w:szCs w:val="24"/>
          <w:lang w:val="ru-RU"/>
        </w:rPr>
        <w:t xml:space="preserve"> </w:t>
      </w:r>
    </w:p>
    <w:p w:rsidR="00481555" w:rsidRDefault="00481555" w:rsidP="00DF1397">
      <w:pPr>
        <w:pStyle w:val="a6"/>
        <w:ind w:firstLine="720"/>
        <w:jc w:val="both"/>
        <w:rPr>
          <w:sz w:val="24"/>
          <w:szCs w:val="24"/>
          <w:lang w:val="ru-RU"/>
        </w:rPr>
      </w:pPr>
      <w:r w:rsidRPr="00481555">
        <w:rPr>
          <w:sz w:val="24"/>
          <w:szCs w:val="24"/>
        </w:rPr>
        <w:t>Відповідно до інформації, розміщеної на офіційному веб-сайті Національної комісії, що здійснює державне регулювання у сферах енергетики та комунальних послуг (далі НКРЕКП), у складі основних завдань та функцій НКРЕКП відповідно до положень Закону України «Про Національну комісію, що здійснює державне регулювання у сферах енергетики та комунальних послуг», Закону України «Про природні монополії» та Положення про НКРЕКП, затвердженого Указом Президента України від 10.09.2014 р. № 715, є формування та ведення реєстру суб’єктів природних монополій, діяльність яких регулюється НКРЕКП.</w:t>
      </w:r>
      <w:r w:rsidRPr="00481555">
        <w:rPr>
          <w:sz w:val="24"/>
          <w:szCs w:val="24"/>
        </w:rPr>
        <w:br/>
        <w:t xml:space="preserve"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31.12.2020 р. </w:t>
      </w:r>
      <w:r w:rsidRPr="00481555">
        <w:rPr>
          <w:sz w:val="24"/>
          <w:szCs w:val="24"/>
        </w:rPr>
        <w:lastRenderedPageBreak/>
        <w:t>Комунальне підприємство “</w:t>
      </w:r>
      <w:proofErr w:type="spellStart"/>
      <w:r w:rsidRPr="00481555">
        <w:rPr>
          <w:sz w:val="24"/>
          <w:szCs w:val="24"/>
        </w:rPr>
        <w:t>Проходівське</w:t>
      </w:r>
      <w:proofErr w:type="spellEnd"/>
      <w:r w:rsidRPr="00481555">
        <w:rPr>
          <w:sz w:val="24"/>
          <w:szCs w:val="24"/>
        </w:rPr>
        <w:t xml:space="preserve"> джерело” значиться під номером 96.</w:t>
      </w:r>
      <w:r w:rsidRPr="00481555">
        <w:rPr>
          <w:sz w:val="24"/>
          <w:szCs w:val="24"/>
        </w:rPr>
        <w:br/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481555">
        <w:rPr>
          <w:sz w:val="24"/>
          <w:szCs w:val="24"/>
        </w:rPr>
        <w:t>Дергачівської</w:t>
      </w:r>
      <w:proofErr w:type="spellEnd"/>
      <w:r w:rsidRPr="00481555">
        <w:rPr>
          <w:sz w:val="24"/>
          <w:szCs w:val="24"/>
        </w:rPr>
        <w:t xml:space="preserve"> міської ради (КЗ "</w:t>
      </w:r>
      <w:proofErr w:type="spellStart"/>
      <w:r w:rsidRPr="00481555">
        <w:rPr>
          <w:sz w:val="24"/>
          <w:szCs w:val="24"/>
        </w:rPr>
        <w:t>Великопроходівський</w:t>
      </w:r>
      <w:proofErr w:type="spellEnd"/>
      <w:r w:rsidRPr="00481555">
        <w:rPr>
          <w:sz w:val="24"/>
          <w:szCs w:val="24"/>
        </w:rPr>
        <w:t xml:space="preserve"> ліцей" за адресою; 62331, Харківська область, </w:t>
      </w:r>
      <w:proofErr w:type="spellStart"/>
      <w:r w:rsidRPr="00481555">
        <w:rPr>
          <w:sz w:val="24"/>
          <w:szCs w:val="24"/>
        </w:rPr>
        <w:t>с.Великі</w:t>
      </w:r>
      <w:proofErr w:type="spellEnd"/>
      <w:r w:rsidRPr="00481555">
        <w:rPr>
          <w:sz w:val="24"/>
          <w:szCs w:val="24"/>
        </w:rPr>
        <w:t xml:space="preserve"> Проходи, вул. </w:t>
      </w:r>
      <w:proofErr w:type="spellStart"/>
      <w:r w:rsidRPr="00481555">
        <w:rPr>
          <w:sz w:val="24"/>
          <w:szCs w:val="24"/>
        </w:rPr>
        <w:t>Іллінська</w:t>
      </w:r>
      <w:proofErr w:type="spellEnd"/>
      <w:r w:rsidRPr="00481555">
        <w:rPr>
          <w:sz w:val="24"/>
          <w:szCs w:val="24"/>
        </w:rPr>
        <w:t>, № 32-А) може бути запропоноване лише Комунальним підприємством “</w:t>
      </w:r>
      <w:proofErr w:type="spellStart"/>
      <w:r w:rsidRPr="00481555">
        <w:rPr>
          <w:sz w:val="24"/>
          <w:szCs w:val="24"/>
        </w:rPr>
        <w:t>Проходівське</w:t>
      </w:r>
      <w:proofErr w:type="spellEnd"/>
      <w:r w:rsidRPr="00481555">
        <w:rPr>
          <w:sz w:val="24"/>
          <w:szCs w:val="24"/>
        </w:rPr>
        <w:t xml:space="preserve"> джерело”,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 </w:t>
      </w:r>
    </w:p>
    <w:p w:rsidR="00481555" w:rsidRDefault="00481555" w:rsidP="00DF1397">
      <w:pPr>
        <w:pStyle w:val="a6"/>
        <w:ind w:firstLine="720"/>
        <w:jc w:val="both"/>
        <w:rPr>
          <w:sz w:val="24"/>
          <w:szCs w:val="24"/>
          <w:lang w:val="ru-RU"/>
        </w:rPr>
      </w:pPr>
      <w:r w:rsidRPr="00481555">
        <w:rPr>
          <w:sz w:val="24"/>
          <w:szCs w:val="24"/>
        </w:rPr>
        <w:t xml:space="preserve">У зв’язку з </w:t>
      </w:r>
      <w:r w:rsidRPr="00481555">
        <w:rPr>
          <w:b/>
          <w:sz w:val="24"/>
          <w:szCs w:val="24"/>
        </w:rPr>
        <w:t>відсутністю конкуренції з технічних причин</w:t>
      </w:r>
      <w:r w:rsidRPr="00481555">
        <w:rPr>
          <w:sz w:val="24"/>
          <w:szCs w:val="24"/>
        </w:rPr>
        <w:t xml:space="preserve">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Комунальним підприємством “</w:t>
      </w:r>
      <w:proofErr w:type="spellStart"/>
      <w:r w:rsidRPr="00481555">
        <w:rPr>
          <w:sz w:val="24"/>
          <w:szCs w:val="24"/>
        </w:rPr>
        <w:t>Проходівське</w:t>
      </w:r>
      <w:proofErr w:type="spellEnd"/>
      <w:r w:rsidRPr="00481555">
        <w:rPr>
          <w:sz w:val="24"/>
          <w:szCs w:val="24"/>
        </w:rPr>
        <w:t xml:space="preserve"> джерело”.</w:t>
      </w:r>
    </w:p>
    <w:p w:rsidR="00481555" w:rsidRPr="00481555" w:rsidRDefault="00481555" w:rsidP="00DF1397">
      <w:pPr>
        <w:pStyle w:val="a6"/>
        <w:ind w:firstLine="720"/>
        <w:jc w:val="both"/>
        <w:rPr>
          <w:sz w:val="24"/>
          <w:szCs w:val="24"/>
          <w:lang w:val="ru-RU"/>
        </w:rPr>
      </w:pPr>
    </w:p>
    <w:p w:rsidR="00DF1397" w:rsidRPr="00DF1397" w:rsidRDefault="00DF1397" w:rsidP="00DF1397">
      <w:pPr>
        <w:pStyle w:val="a6"/>
        <w:ind w:firstLine="720"/>
        <w:jc w:val="both"/>
        <w:rPr>
          <w:b/>
          <w:sz w:val="24"/>
          <w:szCs w:val="24"/>
        </w:rPr>
      </w:pPr>
      <w:r w:rsidRPr="00DF1397">
        <w:rPr>
          <w:b/>
          <w:sz w:val="24"/>
          <w:szCs w:val="24"/>
        </w:rPr>
        <w:t>5. Порядок визначення обсягу закупівлі</w:t>
      </w:r>
    </w:p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Обсяг предмета закупівлі:</w:t>
      </w:r>
    </w:p>
    <w:tbl>
      <w:tblPr>
        <w:tblStyle w:val="a7"/>
        <w:tblW w:w="10076" w:type="dxa"/>
        <w:tblInd w:w="108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DF1397" w:rsidTr="00DF1397">
        <w:tc>
          <w:tcPr>
            <w:tcW w:w="5038" w:type="dxa"/>
          </w:tcPr>
          <w:p w:rsidR="00DF1397" w:rsidRDefault="00DF1397" w:rsidP="00DF1397">
            <w:pPr>
              <w:pStyle w:val="a6"/>
              <w:jc w:val="both"/>
              <w:rPr>
                <w:sz w:val="24"/>
                <w:szCs w:val="24"/>
              </w:rPr>
            </w:pPr>
            <w:r w:rsidRPr="00DF1397">
              <w:rPr>
                <w:sz w:val="24"/>
                <w:szCs w:val="24"/>
              </w:rPr>
              <w:t>Тариф</w:t>
            </w:r>
          </w:p>
        </w:tc>
        <w:tc>
          <w:tcPr>
            <w:tcW w:w="5038" w:type="dxa"/>
          </w:tcPr>
          <w:p w:rsidR="00DF1397" w:rsidRPr="00DF1397" w:rsidRDefault="00481555" w:rsidP="00481555">
            <w:pPr>
              <w:pStyle w:val="a6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DF13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40</w:t>
            </w:r>
            <w:r w:rsidR="00DF1397">
              <w:rPr>
                <w:sz w:val="24"/>
                <w:szCs w:val="24"/>
              </w:rPr>
              <w:t xml:space="preserve"> за м</w:t>
            </w:r>
            <w:r w:rsidR="00DF1397"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Розрахунок обсягу предмету закупівлі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DF1397" w:rsidTr="00DF1397">
        <w:tc>
          <w:tcPr>
            <w:tcW w:w="3358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Об’єм, м3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 xml:space="preserve">Всього, </w:t>
            </w:r>
            <w:proofErr w:type="spellStart"/>
            <w:r w:rsidRPr="00C175EA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175EA" w:rsidTr="00DF1397">
        <w:tc>
          <w:tcPr>
            <w:tcW w:w="3358" w:type="dxa"/>
          </w:tcPr>
          <w:p w:rsidR="00C175EA" w:rsidRPr="00481555" w:rsidRDefault="00481555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Великопроходівський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59" w:type="dxa"/>
          </w:tcPr>
          <w:p w:rsidR="00C175EA" w:rsidRPr="00C175EA" w:rsidRDefault="00481555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359" w:type="dxa"/>
          </w:tcPr>
          <w:p w:rsidR="00C175EA" w:rsidRPr="00C175EA" w:rsidRDefault="00481555" w:rsidP="006E396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1413,60</w:t>
            </w:r>
          </w:p>
        </w:tc>
      </w:tr>
      <w:tr w:rsidR="00C175EA" w:rsidTr="00DF1397">
        <w:tc>
          <w:tcPr>
            <w:tcW w:w="3358" w:type="dxa"/>
          </w:tcPr>
          <w:p w:rsidR="00C175EA" w:rsidRPr="003E3AAA" w:rsidRDefault="00C175EA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E3AA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59" w:type="dxa"/>
          </w:tcPr>
          <w:p w:rsidR="00C175EA" w:rsidRPr="003E3AAA" w:rsidRDefault="00481555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3359" w:type="dxa"/>
          </w:tcPr>
          <w:p w:rsidR="00C175EA" w:rsidRPr="003E3AAA" w:rsidRDefault="00481555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1413,60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закупівлі:</w:t>
      </w:r>
      <w:r w:rsidR="00157A70">
        <w:rPr>
          <w:b/>
          <w:sz w:val="24"/>
          <w:szCs w:val="24"/>
        </w:rPr>
        <w:t xml:space="preserve"> </w:t>
      </w:r>
      <w:r w:rsidR="00C175EA">
        <w:rPr>
          <w:b/>
          <w:sz w:val="24"/>
          <w:szCs w:val="24"/>
        </w:rPr>
        <w:t xml:space="preserve"> </w:t>
      </w:r>
      <w:r w:rsidR="00481555">
        <w:rPr>
          <w:sz w:val="24"/>
          <w:szCs w:val="24"/>
        </w:rPr>
        <w:t>1413,60</w:t>
      </w:r>
      <w:r w:rsidR="00157A70">
        <w:rPr>
          <w:sz w:val="24"/>
          <w:szCs w:val="24"/>
        </w:rPr>
        <w:t xml:space="preserve"> грн.</w:t>
      </w:r>
    </w:p>
    <w:p w:rsidR="00440507" w:rsidRDefault="00D724EA" w:rsidP="007669B6">
      <w:pPr>
        <w:pStyle w:val="1"/>
        <w:tabs>
          <w:tab w:val="left" w:pos="7842"/>
        </w:tabs>
        <w:spacing w:before="211"/>
        <w:ind w:left="0"/>
        <w:rPr>
          <w:b/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  <w:r w:rsidRPr="00D724EA">
        <w:rPr>
          <w:b/>
          <w:sz w:val="24"/>
          <w:szCs w:val="24"/>
        </w:rPr>
        <w:t>7.Місце поставки товарів або місце виконання робіт чи надання послуг:</w:t>
      </w:r>
    </w:p>
    <w:p w:rsidR="00401E54" w:rsidRDefault="00D724EA" w:rsidP="00440507">
      <w:pPr>
        <w:pStyle w:val="a6"/>
        <w:rPr>
          <w:sz w:val="24"/>
          <w:szCs w:val="24"/>
          <w:lang w:val="ru-RU"/>
        </w:rPr>
      </w:pPr>
      <w:proofErr w:type="spellStart"/>
      <w:r w:rsidRPr="00440507">
        <w:rPr>
          <w:sz w:val="24"/>
          <w:szCs w:val="24"/>
        </w:rPr>
        <w:t>-комунальний</w:t>
      </w:r>
      <w:proofErr w:type="spellEnd"/>
      <w:r w:rsidRPr="00440507">
        <w:rPr>
          <w:sz w:val="24"/>
          <w:szCs w:val="24"/>
        </w:rPr>
        <w:t xml:space="preserve"> заклад </w:t>
      </w:r>
      <w:r w:rsidR="003E3AAA">
        <w:rPr>
          <w:sz w:val="24"/>
          <w:szCs w:val="24"/>
        </w:rPr>
        <w:t>«</w:t>
      </w:r>
      <w:proofErr w:type="spellStart"/>
      <w:r w:rsidR="00481555">
        <w:rPr>
          <w:sz w:val="24"/>
          <w:szCs w:val="24"/>
        </w:rPr>
        <w:t>Великопроходівський</w:t>
      </w:r>
      <w:proofErr w:type="spellEnd"/>
      <w:r w:rsidR="00481555">
        <w:rPr>
          <w:sz w:val="24"/>
          <w:szCs w:val="24"/>
        </w:rPr>
        <w:t xml:space="preserve"> ліцей</w:t>
      </w:r>
      <w:r w:rsidR="003E3AAA">
        <w:rPr>
          <w:sz w:val="24"/>
          <w:szCs w:val="24"/>
        </w:rPr>
        <w:t>» за адресою</w:t>
      </w:r>
      <w:r w:rsidRPr="00440507">
        <w:rPr>
          <w:sz w:val="24"/>
          <w:szCs w:val="24"/>
        </w:rPr>
        <w:t>;</w:t>
      </w:r>
      <w:r w:rsidR="00481555">
        <w:rPr>
          <w:sz w:val="24"/>
          <w:szCs w:val="24"/>
        </w:rPr>
        <w:t xml:space="preserve"> </w:t>
      </w:r>
      <w:r w:rsidR="00401E54">
        <w:rPr>
          <w:sz w:val="24"/>
          <w:szCs w:val="24"/>
        </w:rPr>
        <w:t>Харківська область,</w:t>
      </w:r>
      <w:r w:rsidR="00481555">
        <w:rPr>
          <w:sz w:val="24"/>
          <w:szCs w:val="24"/>
        </w:rPr>
        <w:t xml:space="preserve">с. Великі Проходи, вул. </w:t>
      </w:r>
      <w:proofErr w:type="spellStart"/>
      <w:r w:rsidR="00481555">
        <w:rPr>
          <w:sz w:val="24"/>
          <w:szCs w:val="24"/>
        </w:rPr>
        <w:t>Іллінська</w:t>
      </w:r>
      <w:proofErr w:type="spellEnd"/>
      <w:r w:rsidR="00481555">
        <w:rPr>
          <w:sz w:val="24"/>
          <w:szCs w:val="24"/>
        </w:rPr>
        <w:t xml:space="preserve"> №32-а.</w:t>
      </w:r>
    </w:p>
    <w:p w:rsidR="00EA69F1" w:rsidRPr="00440507" w:rsidRDefault="00EA69F1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E3AAA"/>
    <w:rsid w:val="003F43AE"/>
    <w:rsid w:val="003F6BDA"/>
    <w:rsid w:val="00401E54"/>
    <w:rsid w:val="00440507"/>
    <w:rsid w:val="004549E4"/>
    <w:rsid w:val="0048155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6E396A"/>
    <w:rsid w:val="00700E60"/>
    <w:rsid w:val="00721C27"/>
    <w:rsid w:val="007574D9"/>
    <w:rsid w:val="007669B6"/>
    <w:rsid w:val="007B3134"/>
    <w:rsid w:val="007C1EF4"/>
    <w:rsid w:val="007D1903"/>
    <w:rsid w:val="007E79AD"/>
    <w:rsid w:val="0081670A"/>
    <w:rsid w:val="00877152"/>
    <w:rsid w:val="008B1E7E"/>
    <w:rsid w:val="008C665A"/>
    <w:rsid w:val="00961B39"/>
    <w:rsid w:val="009A145B"/>
    <w:rsid w:val="009E4F64"/>
    <w:rsid w:val="00A46235"/>
    <w:rsid w:val="00A62194"/>
    <w:rsid w:val="00A76173"/>
    <w:rsid w:val="00A97981"/>
    <w:rsid w:val="00AA46AD"/>
    <w:rsid w:val="00B428DB"/>
    <w:rsid w:val="00B45016"/>
    <w:rsid w:val="00B52262"/>
    <w:rsid w:val="00B5347E"/>
    <w:rsid w:val="00BA5A1D"/>
    <w:rsid w:val="00C048C5"/>
    <w:rsid w:val="00C175EA"/>
    <w:rsid w:val="00C373A8"/>
    <w:rsid w:val="00C718CA"/>
    <w:rsid w:val="00C93B4C"/>
    <w:rsid w:val="00CA5630"/>
    <w:rsid w:val="00D724EA"/>
    <w:rsid w:val="00DD1AE7"/>
    <w:rsid w:val="00DF1397"/>
    <w:rsid w:val="00DF702A"/>
    <w:rsid w:val="00E228D7"/>
    <w:rsid w:val="00E27D29"/>
    <w:rsid w:val="00E34F4A"/>
    <w:rsid w:val="00EA69F1"/>
    <w:rsid w:val="00EC3429"/>
    <w:rsid w:val="00EE40CC"/>
    <w:rsid w:val="00F14168"/>
    <w:rsid w:val="00F83424"/>
    <w:rsid w:val="00FB014B"/>
    <w:rsid w:val="00FB034B"/>
    <w:rsid w:val="00FC2F7C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3368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10</cp:revision>
  <cp:lastPrinted>2021-02-10T06:57:00Z</cp:lastPrinted>
  <dcterms:created xsi:type="dcterms:W3CDTF">2021-01-31T18:52:00Z</dcterms:created>
  <dcterms:modified xsi:type="dcterms:W3CDTF">2021-02-10T07:00:00Z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