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04F4AC7C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  <w:r w:rsidR="002F69FF">
        <w:t>№</w:t>
      </w:r>
      <w:r w:rsidR="00D737D8">
        <w:t xml:space="preserve"> 8/1</w:t>
      </w:r>
    </w:p>
    <w:p w14:paraId="4F654C92" w14:textId="77777777" w:rsidR="002F69FF" w:rsidRDefault="002F69FF" w:rsidP="00B00E59">
      <w:pPr>
        <w:pStyle w:val="2"/>
        <w:spacing w:before="62" w:line="276" w:lineRule="exact"/>
        <w:ind w:left="0" w:right="79"/>
        <w:jc w:val="center"/>
      </w:pP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446A89BC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</w:t>
      </w:r>
      <w:r w:rsidR="00022B73">
        <w:rPr>
          <w:b/>
          <w:color w:val="000000" w:themeColor="text1"/>
          <w:sz w:val="24"/>
          <w:szCs w:val="24"/>
        </w:rPr>
        <w:t xml:space="preserve">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602D5B4D" w14:textId="77777777" w:rsidR="0060354F" w:rsidRDefault="0060354F" w:rsidP="00022B73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C74BAD">
        <w:rPr>
          <w:sz w:val="24"/>
          <w:szCs w:val="24"/>
          <w:lang w:val="ru-RU"/>
        </w:rPr>
        <w:t>Постачання теплової енергії</w:t>
      </w:r>
    </w:p>
    <w:p w14:paraId="24446031" w14:textId="44B88724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2F69FF">
        <w:rPr>
          <w:color w:val="000000" w:themeColor="text1"/>
          <w:sz w:val="24"/>
          <w:szCs w:val="24"/>
        </w:rPr>
        <w:t>282</w:t>
      </w:r>
      <w:r w:rsidR="00A47913">
        <w:rPr>
          <w:color w:val="000000" w:themeColor="text1"/>
          <w:sz w:val="24"/>
          <w:szCs w:val="24"/>
        </w:rPr>
        <w:t>,00 Гкал</w:t>
      </w:r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5D91BE91" w:rsidR="0026627A" w:rsidRDefault="002F69FF" w:rsidP="00A47913">
      <w:pPr>
        <w:pStyle w:val="a6"/>
        <w:jc w:val="both"/>
        <w:rPr>
          <w:bCs/>
          <w:lang w:val="ru-RU"/>
        </w:rPr>
      </w:pPr>
      <w:r>
        <w:rPr>
          <w:bCs/>
          <w:lang w:val="ru-RU"/>
        </w:rPr>
        <w:t>-</w:t>
      </w:r>
      <w:r w:rsidR="0026627A" w:rsidRPr="0026627A">
        <w:rPr>
          <w:bCs/>
          <w:lang w:val="ru-RU"/>
        </w:rPr>
        <w:t>623</w:t>
      </w:r>
      <w:r>
        <w:rPr>
          <w:bCs/>
          <w:lang w:val="ru-RU"/>
        </w:rPr>
        <w:t>22</w:t>
      </w:r>
      <w:r w:rsidR="0026627A" w:rsidRPr="0026627A">
        <w:rPr>
          <w:bCs/>
          <w:lang w:val="ru-RU"/>
        </w:rPr>
        <w:t>, Україна, Харківська область, </w:t>
      </w:r>
      <w:r>
        <w:rPr>
          <w:bCs/>
          <w:lang w:val="ru-RU"/>
        </w:rPr>
        <w:t>Харківський район, село Безруки, вулиця Дружби, будинок 2-А</w:t>
      </w:r>
    </w:p>
    <w:p w14:paraId="3B48A109" w14:textId="1CB81386" w:rsidR="002F69FF" w:rsidRPr="0026627A" w:rsidRDefault="002F69FF" w:rsidP="00A47913">
      <w:pPr>
        <w:pStyle w:val="a6"/>
        <w:jc w:val="both"/>
        <w:rPr>
          <w:bCs/>
          <w:sz w:val="24"/>
          <w:szCs w:val="24"/>
        </w:rPr>
      </w:pPr>
      <w:r w:rsidRPr="0026627A">
        <w:rPr>
          <w:bCs/>
          <w:lang w:val="ru-RU"/>
        </w:rPr>
        <w:t>623</w:t>
      </w:r>
      <w:r>
        <w:rPr>
          <w:bCs/>
          <w:lang w:val="ru-RU"/>
        </w:rPr>
        <w:t>22</w:t>
      </w:r>
      <w:r w:rsidRPr="0026627A">
        <w:rPr>
          <w:bCs/>
          <w:lang w:val="ru-RU"/>
        </w:rPr>
        <w:t>, Україна, Харківська область, </w:t>
      </w:r>
      <w:r>
        <w:rPr>
          <w:bCs/>
          <w:lang w:val="ru-RU"/>
        </w:rPr>
        <w:t>Харківський район, село Руська Лозова, вулиця Матюшенка, будинок 74-А</w:t>
      </w:r>
    </w:p>
    <w:p w14:paraId="38CD1943" w14:textId="477139B3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5920FB80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2F69FF">
        <w:rPr>
          <w:rFonts w:eastAsiaTheme="minorHAnsi"/>
          <w:color w:val="000000"/>
          <w:sz w:val="24"/>
          <w:szCs w:val="24"/>
        </w:rPr>
        <w:t>1756290,36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2023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>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lastRenderedPageBreak/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2215E568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30.0</w:t>
      </w:r>
      <w:r w:rsidR="0060354F" w:rsidRPr="00924BCD">
        <w:t>9</w:t>
      </w:r>
      <w:r w:rsidRPr="00924BCD">
        <w:t xml:space="preserve">.2023р.,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2F69FF">
        <w:rPr>
          <w:bCs/>
          <w:lang w:eastAsia="ar-SA"/>
        </w:rPr>
        <w:t>Комунальне підприємство «Постачальник послуг» Дергачівської міської ради Харківської області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2F69FF">
        <w:t>38656019</w:t>
      </w:r>
      <w:r w:rsidR="00DE5283" w:rsidRPr="00924BCD">
        <w:t xml:space="preserve">) </w:t>
      </w:r>
      <w:r w:rsidRPr="00924BCD">
        <w:t xml:space="preserve">значиться під номером </w:t>
      </w:r>
      <w:r w:rsidR="002F69FF">
        <w:t>197</w:t>
      </w:r>
      <w:r w:rsidR="0026627A">
        <w:t>.</w:t>
      </w:r>
      <w:r w:rsidRPr="00924BCD">
        <w:t xml:space="preserve"> </w:t>
      </w:r>
    </w:p>
    <w:p w14:paraId="5A49A70E" w14:textId="6E41A186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2F69FF">
        <w:rPr>
          <w:bCs/>
          <w:lang w:eastAsia="ar-SA"/>
        </w:rPr>
        <w:t>Комунальне підприємство «Постачальник послуг» Дергачівської міської ради Харківської області</w:t>
      </w:r>
      <w:r w:rsidR="002F69FF" w:rsidRPr="0026627A">
        <w:rPr>
          <w:bCs/>
        </w:rPr>
        <w:t xml:space="preserve"> </w:t>
      </w:r>
      <w:r w:rsidR="002F69FF" w:rsidRPr="00924BCD">
        <w:t xml:space="preserve">(код ЄДРПОУ </w:t>
      </w:r>
      <w:r w:rsidR="002F69FF">
        <w:t>38656019</w:t>
      </w:r>
      <w:r w:rsidR="002F69FF" w:rsidRPr="00924BCD">
        <w:t>)</w:t>
      </w:r>
      <w:r w:rsidR="0060354F" w:rsidRPr="00924BCD">
        <w:rPr>
          <w:sz w:val="24"/>
          <w:szCs w:val="24"/>
        </w:rPr>
        <w:t>.</w:t>
      </w: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69FF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A2A97"/>
    <w:rsid w:val="006B5364"/>
    <w:rsid w:val="006C0FD0"/>
    <w:rsid w:val="006F5386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737D8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3482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14</cp:revision>
  <cp:lastPrinted>2023-11-07T09:22:00Z</cp:lastPrinted>
  <dcterms:created xsi:type="dcterms:W3CDTF">2023-10-11T12:37:00Z</dcterms:created>
  <dcterms:modified xsi:type="dcterms:W3CDTF">2024-02-23T12:29:00Z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