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5F" w:rsidRDefault="0012235F">
      <w:pPr>
        <w:pStyle w:val="2"/>
        <w:spacing w:before="62" w:line="276" w:lineRule="exact"/>
        <w:ind w:left="2048" w:right="2065"/>
        <w:jc w:val="center"/>
      </w:pPr>
    </w:p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58024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580245">
        <w:rPr>
          <w:b/>
          <w:color w:val="000000" w:themeColor="text1"/>
          <w:sz w:val="24"/>
        </w:rPr>
        <w:t>застосування переговорної процедури</w:t>
      </w:r>
      <w:r w:rsidR="007B3134" w:rsidRPr="00B5347E">
        <w:rPr>
          <w:b/>
          <w:color w:val="000000" w:themeColor="text1"/>
          <w:sz w:val="24"/>
        </w:rPr>
        <w:t>:</w:t>
      </w:r>
    </w:p>
    <w:p w:rsidR="00B76304" w:rsidRDefault="00B7630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76304">
        <w:rPr>
          <w:b/>
          <w:color w:val="000000" w:themeColor="text1"/>
          <w:sz w:val="24"/>
        </w:rPr>
        <w:t>Послуги з розподілу природного газу</w:t>
      </w:r>
    </w:p>
    <w:p w:rsidR="00D529E6" w:rsidRDefault="00B7630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76304">
        <w:rPr>
          <w:b/>
          <w:color w:val="000000" w:themeColor="text1"/>
          <w:sz w:val="24"/>
        </w:rPr>
        <w:t>ДК 021:2015: 65210000-8 — Розподіл газу</w:t>
      </w:r>
    </w:p>
    <w:p w:rsidR="00B76304" w:rsidRDefault="00B7630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</w:t>
      </w:r>
      <w:r w:rsidRPr="00300B51">
        <w:rPr>
          <w:sz w:val="24"/>
        </w:rPr>
        <w:t>..</w:t>
      </w:r>
      <w:hyperlink r:id="rId7" w:history="1">
        <w:r w:rsidRPr="00300B51">
          <w:rPr>
            <w:rStyle w:val="a5"/>
            <w:color w:val="auto"/>
            <w:sz w:val="24"/>
          </w:rPr>
          <w:t>38(057)6330147</w:t>
        </w:r>
      </w:hyperlink>
      <w:r w:rsidRPr="00300B51">
        <w:rPr>
          <w:sz w:val="24"/>
        </w:rPr>
        <w:t xml:space="preserve">, </w:t>
      </w:r>
      <w:hyperlink r:id="rId8" w:history="1">
        <w:r w:rsidR="00B76304" w:rsidRPr="00300B51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B76304" w:rsidRPr="00B76304">
        <w:rPr>
          <w:b w:val="0"/>
        </w:rPr>
        <w:t>15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8E1D7D" w:rsidRPr="008E1D7D">
        <w:rPr>
          <w:sz w:val="24"/>
        </w:rPr>
        <w:t>Послуги з розподілу природного газу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  <w:r w:rsidR="008E1D7D" w:rsidRPr="008E1D7D">
        <w:rPr>
          <w:b w:val="0"/>
        </w:rPr>
        <w:t>у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8E1D7D" w:rsidRPr="008E1D7D">
        <w:rPr>
          <w:rFonts w:ascii="Arial" w:hAnsi="Arial" w:cs="Arial"/>
          <w:b w:val="0"/>
          <w:bCs w:val="0"/>
          <w:color w:val="454545"/>
          <w:sz w:val="21"/>
          <w:szCs w:val="21"/>
        </w:rPr>
        <w:t>кількості  322729 метри кубічні.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300B51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300B51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300B51">
        <w:rPr>
          <w:sz w:val="24"/>
        </w:rPr>
        <w:t>Чинний Закон України «Про публічні закупівлі» від 25.12.2015 №</w:t>
      </w:r>
      <w:r w:rsidRPr="00300B51">
        <w:rPr>
          <w:spacing w:val="-15"/>
          <w:sz w:val="24"/>
        </w:rPr>
        <w:t xml:space="preserve"> </w:t>
      </w:r>
      <w:r w:rsidRPr="00300B51">
        <w:rPr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C24BE6" w:rsidRPr="00C24BE6" w:rsidRDefault="006129FB" w:rsidP="006129FB">
      <w:pPr>
        <w:tabs>
          <w:tab w:val="left" w:pos="351"/>
          <w:tab w:val="left" w:pos="5134"/>
        </w:tabs>
        <w:ind w:left="110" w:right="165"/>
        <w:rPr>
          <w:sz w:val="24"/>
        </w:rPr>
      </w:pPr>
      <w:r>
        <w:rPr>
          <w:sz w:val="24"/>
        </w:rPr>
        <w:t>Для сталого проходження опалювального сезону для об’єктів споживача, закладів освіти, культури, молоді та спорту.</w:t>
      </w:r>
    </w:p>
    <w:p w:rsidR="00EF34F2" w:rsidRPr="00EF34F2" w:rsidRDefault="00EF34F2" w:rsidP="00EF34F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EF34F2">
        <w:rPr>
          <w:sz w:val="24"/>
        </w:rPr>
        <w:t>Закупівлю згідно предмету закупівлі «Послуги з розподілу природного газу » – код національного класифікатора України ДК 021:2015 «Єдиний закупівельний словник» – 65210000-8 — «Розподіл газу»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EF34F2" w:rsidRPr="00EF34F2" w:rsidRDefault="00EF34F2" w:rsidP="00EF34F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EF34F2">
        <w:rPr>
          <w:sz w:val="24"/>
        </w:rPr>
        <w:t>Відповідно до статті 1 Закону України «Про природні монополії» від 20.04.2000 р. №1682-III природна монополія –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</w:t>
      </w:r>
    </w:p>
    <w:p w:rsidR="00EF34F2" w:rsidRPr="00EF34F2" w:rsidRDefault="00EF34F2" w:rsidP="00EF34F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EF34F2">
        <w:rPr>
          <w:sz w:val="24"/>
        </w:rPr>
        <w:t>Відповідно до частини 2 статті 5 Закону України «Про природні монополії» перелік суб’єктів природних монополій складається та ведеться Антимонопольним комітетом України відповідно до його повноважень.</w:t>
      </w:r>
    </w:p>
    <w:p w:rsidR="00EF34F2" w:rsidRPr="00EF34F2" w:rsidRDefault="00EF34F2" w:rsidP="00EF34F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EF34F2">
        <w:rPr>
          <w:sz w:val="24"/>
        </w:rPr>
        <w:t>До зазначеного переліку станом на 30.11.2020р., як суб’єкт господарювання, що займає монопольне (домінуюче) становище на ринку послуг з розподілу природного газу включено АКЦІОНЕРНЕ ТОВАРИСТВО «ОПЕРАТОР ГАЗОРОЗПОДІЛЬНОЇ СИСТЕМИ «ХАРКІВГАЗ» (скорочене найменування - АТ «ХАРКІВГАЗ») (далі – АТ «ХАРКІВГАЗ») (код ЄДРПОУ 03359500) під номером 49.</w:t>
      </w:r>
    </w:p>
    <w:p w:rsidR="00EF34F2" w:rsidRPr="00EF34F2" w:rsidRDefault="00EF34F2" w:rsidP="00EF34F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EF34F2">
        <w:rPr>
          <w:sz w:val="24"/>
        </w:rPr>
        <w:t>Відповідно до реєстру суб'єктів природних монополій, які проводять господарську діяльність у сфері енергетики щодо розподілу природного газу, розміщеному на офіційному сайті НКРЕКП станом на 30.11.2020р. АТ «ХАРКІВГАЗ» значиться під номером 13.</w:t>
      </w:r>
    </w:p>
    <w:p w:rsidR="00EF34F2" w:rsidRPr="00FE3867" w:rsidRDefault="00EF34F2" w:rsidP="00EF34F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EF34F2">
        <w:rPr>
          <w:sz w:val="24"/>
        </w:rPr>
        <w:lastRenderedPageBreak/>
        <w:t xml:space="preserve">У зв’язку з відсутністю конкуренції з технічних причин на послуги з розподілу природного газу до закладів управління освіти, культури, молоді та спорту </w:t>
      </w:r>
      <w:proofErr w:type="spellStart"/>
      <w:r w:rsidRPr="00EF34F2">
        <w:rPr>
          <w:sz w:val="24"/>
        </w:rPr>
        <w:t>Дергачівської</w:t>
      </w:r>
      <w:proofErr w:type="spellEnd"/>
      <w:r w:rsidRPr="00EF34F2">
        <w:rPr>
          <w:sz w:val="24"/>
        </w:rPr>
        <w:t xml:space="preserve"> міської ради, які можуть бути надані тільки певним постачальником, за відсутності при цьому альтернативи прийнято рішення про намір укласти договір з АКЦІОНЕРНИМ ТОВАРИСТВОМ «ОПЕРАТОР ГАЗОРОЗПОДІЛЬНОЇ СИСТЕМИ «ХАРКІВГАЗ».</w:t>
      </w:r>
    </w:p>
    <w:p w:rsidR="00725300" w:rsidRPr="00725300" w:rsidRDefault="007B3134" w:rsidP="0072530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725300">
        <w:rPr>
          <w:b/>
          <w:sz w:val="24"/>
          <w:szCs w:val="24"/>
        </w:rPr>
        <w:t>Обгрунтування</w:t>
      </w:r>
      <w:proofErr w:type="spellEnd"/>
      <w:r w:rsidRPr="00725300">
        <w:rPr>
          <w:b/>
          <w:spacing w:val="-17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обсягів</w:t>
      </w:r>
      <w:r w:rsidRPr="00725300">
        <w:rPr>
          <w:b/>
          <w:spacing w:val="-23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закупівлі.</w:t>
      </w:r>
      <w:r w:rsidRPr="00725300">
        <w:rPr>
          <w:b/>
          <w:spacing w:val="-18"/>
          <w:sz w:val="24"/>
          <w:szCs w:val="24"/>
        </w:rPr>
        <w:t xml:space="preserve"> </w:t>
      </w:r>
      <w:r w:rsidR="00725300" w:rsidRPr="00725300">
        <w:rPr>
          <w:spacing w:val="-18"/>
          <w:sz w:val="24"/>
          <w:szCs w:val="24"/>
        </w:rPr>
        <w:t xml:space="preserve">Згідно предмету закупівлі «Послуги з розподілу природного газу </w:t>
      </w:r>
      <w:r w:rsidR="00725300" w:rsidRPr="00725300">
        <w:rPr>
          <w:spacing w:val="-18"/>
          <w:sz w:val="20"/>
          <w:szCs w:val="20"/>
        </w:rPr>
        <w:t>»</w:t>
      </w:r>
    </w:p>
    <w:p w:rsidR="00D529E6" w:rsidRPr="00C822D8" w:rsidRDefault="006129FB" w:rsidP="00725300">
      <w:pPr>
        <w:pStyle w:val="1"/>
        <w:spacing w:before="75" w:line="230" w:lineRule="auto"/>
        <w:ind w:left="350" w:right="134"/>
        <w:jc w:val="left"/>
        <w:rPr>
          <w:sz w:val="24"/>
          <w:szCs w:val="24"/>
        </w:rPr>
      </w:pPr>
      <w:r>
        <w:rPr>
          <w:spacing w:val="-18"/>
          <w:sz w:val="24"/>
          <w:szCs w:val="24"/>
        </w:rPr>
        <w:t>планується</w:t>
      </w:r>
      <w:r w:rsidR="00C24BE6">
        <w:rPr>
          <w:spacing w:val="-18"/>
          <w:sz w:val="24"/>
          <w:szCs w:val="24"/>
        </w:rPr>
        <w:t xml:space="preserve"> </w:t>
      </w:r>
      <w:r w:rsidR="00C822D8" w:rsidRPr="00C822D8">
        <w:rPr>
          <w:spacing w:val="-18"/>
          <w:sz w:val="24"/>
          <w:szCs w:val="24"/>
        </w:rPr>
        <w:t xml:space="preserve"> </w:t>
      </w:r>
      <w:r w:rsidR="00725300">
        <w:rPr>
          <w:spacing w:val="-18"/>
          <w:sz w:val="24"/>
          <w:szCs w:val="24"/>
        </w:rPr>
        <w:t xml:space="preserve"> </w:t>
      </w:r>
      <w:r w:rsidR="00C822D8" w:rsidRPr="00C822D8">
        <w:rPr>
          <w:spacing w:val="-18"/>
          <w:sz w:val="24"/>
          <w:szCs w:val="24"/>
        </w:rPr>
        <w:t xml:space="preserve">у </w:t>
      </w:r>
      <w:r w:rsidR="00725300">
        <w:rPr>
          <w:spacing w:val="-18"/>
          <w:sz w:val="24"/>
          <w:szCs w:val="24"/>
        </w:rPr>
        <w:t xml:space="preserve"> </w:t>
      </w:r>
      <w:r w:rsidR="00C822D8" w:rsidRPr="00C822D8">
        <w:rPr>
          <w:spacing w:val="-18"/>
          <w:sz w:val="24"/>
          <w:szCs w:val="24"/>
        </w:rPr>
        <w:t xml:space="preserve">кількості  </w:t>
      </w:r>
      <w:r w:rsidR="00725300" w:rsidRPr="00725300">
        <w:rPr>
          <w:spacing w:val="-18"/>
          <w:sz w:val="24"/>
          <w:szCs w:val="24"/>
        </w:rPr>
        <w:t>322729 метри кубічні</w:t>
      </w:r>
      <w:r w:rsidR="00725300">
        <w:rPr>
          <w:spacing w:val="-18"/>
          <w:sz w:val="24"/>
          <w:szCs w:val="24"/>
        </w:rPr>
        <w:t>.</w:t>
      </w:r>
    </w:p>
    <w:p w:rsidR="00C822D8" w:rsidRPr="0012235F" w:rsidRDefault="007B3134" w:rsidP="00C822D8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jc w:val="both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26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очікуваної</w:t>
      </w:r>
      <w:r w:rsidRPr="002B7A59">
        <w:rPr>
          <w:b/>
          <w:spacing w:val="-31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ціни</w:t>
      </w:r>
      <w:r w:rsidRPr="002B7A59">
        <w:rPr>
          <w:b/>
          <w:spacing w:val="-34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</w:p>
    <w:p w:rsidR="0012235F" w:rsidRPr="0012235F" w:rsidRDefault="0012235F" w:rsidP="0012235F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2235F">
        <w:rPr>
          <w:sz w:val="24"/>
          <w:szCs w:val="24"/>
        </w:rPr>
        <w:t xml:space="preserve"> Провівши моніторинг та аналіз цін до проведення закупівлі з</w:t>
      </w:r>
      <w:r>
        <w:rPr>
          <w:sz w:val="24"/>
          <w:szCs w:val="24"/>
        </w:rPr>
        <w:t xml:space="preserve"> </w:t>
      </w:r>
      <w:r w:rsidRPr="0012235F">
        <w:rPr>
          <w:sz w:val="24"/>
          <w:szCs w:val="24"/>
        </w:rPr>
        <w:t xml:space="preserve">«Послуги з розподілу природного газу », передбачається середня ціна </w:t>
      </w:r>
      <w:r>
        <w:rPr>
          <w:sz w:val="24"/>
          <w:szCs w:val="24"/>
        </w:rPr>
        <w:t>: 2,28 *322729 =735822,12 грн.</w:t>
      </w:r>
    </w:p>
    <w:p w:rsidR="0012235F" w:rsidRPr="0012235F" w:rsidRDefault="0012235F" w:rsidP="0012235F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C24BE6" w:rsidRDefault="00C24BE6" w:rsidP="00C24BE6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  <w:bookmarkStart w:id="0" w:name="_GoBack"/>
      <w:bookmarkEnd w:id="0"/>
    </w:p>
    <w:p w:rsidR="00C24BE6" w:rsidRDefault="00C24BE6" w:rsidP="00C24BE6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C24BE6" w:rsidRDefault="00C24BE6" w:rsidP="00C24BE6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C24BE6" w:rsidRDefault="00C24BE6" w:rsidP="00C24BE6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C24BE6" w:rsidRPr="00C822D8" w:rsidRDefault="00C24BE6" w:rsidP="00C24BE6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EA69F1" w:rsidRPr="00300B51" w:rsidRDefault="007B3134" w:rsidP="00212FE6">
      <w:pPr>
        <w:pStyle w:val="1"/>
        <w:jc w:val="left"/>
        <w:rPr>
          <w:color w:val="FF0000"/>
        </w:rPr>
      </w:pPr>
      <w:r w:rsidRPr="00300B51">
        <w:rPr>
          <w:b/>
          <w:color w:val="FF0000"/>
        </w:rPr>
        <w:t xml:space="preserve"> </w:t>
      </w:r>
      <w:r w:rsidR="006C0FD0" w:rsidRPr="00300B51">
        <w:rPr>
          <w:b/>
          <w:color w:val="FF0000"/>
        </w:rPr>
        <w:t xml:space="preserve"> </w:t>
      </w:r>
    </w:p>
    <w:sectPr w:rsidR="00EA69F1" w:rsidRPr="00300B5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27DB4"/>
    <w:rsid w:val="000F17F7"/>
    <w:rsid w:val="0012235F"/>
    <w:rsid w:val="00212FE6"/>
    <w:rsid w:val="00271131"/>
    <w:rsid w:val="002B7A59"/>
    <w:rsid w:val="00300B51"/>
    <w:rsid w:val="00436B6B"/>
    <w:rsid w:val="004549E4"/>
    <w:rsid w:val="00580245"/>
    <w:rsid w:val="006129FB"/>
    <w:rsid w:val="006B3386"/>
    <w:rsid w:val="006C0FD0"/>
    <w:rsid w:val="00721C27"/>
    <w:rsid w:val="00725300"/>
    <w:rsid w:val="007B3134"/>
    <w:rsid w:val="008A2C63"/>
    <w:rsid w:val="008B1E7E"/>
    <w:rsid w:val="008E1D7D"/>
    <w:rsid w:val="009E4F64"/>
    <w:rsid w:val="00AA46AD"/>
    <w:rsid w:val="00AE377D"/>
    <w:rsid w:val="00B428DB"/>
    <w:rsid w:val="00B45016"/>
    <w:rsid w:val="00B5347E"/>
    <w:rsid w:val="00B76304"/>
    <w:rsid w:val="00BA5A1D"/>
    <w:rsid w:val="00C048C5"/>
    <w:rsid w:val="00C24BE6"/>
    <w:rsid w:val="00C373A8"/>
    <w:rsid w:val="00C741C5"/>
    <w:rsid w:val="00C822D8"/>
    <w:rsid w:val="00CA5630"/>
    <w:rsid w:val="00CE5015"/>
    <w:rsid w:val="00D529E6"/>
    <w:rsid w:val="00DD1AE7"/>
    <w:rsid w:val="00E931AF"/>
    <w:rsid w:val="00EA69F1"/>
    <w:rsid w:val="00EF34F2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DB74-815C-4D89-AE44-059E28E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26</cp:revision>
  <cp:lastPrinted>2021-01-22T08:33:00Z</cp:lastPrinted>
  <dcterms:created xsi:type="dcterms:W3CDTF">2021-01-18T11:30:00Z</dcterms:created>
  <dcterms:modified xsi:type="dcterms:W3CDTF">2021-01-29T12:56:00Z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