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7BAB03EB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104907">
        <w:t>10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7ED3A840" w14:textId="18F9C30D" w:rsidR="00B00E59" w:rsidRDefault="00104907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104907">
        <w:rPr>
          <w:b/>
          <w:color w:val="000000" w:themeColor="text1"/>
          <w:sz w:val="24"/>
        </w:rPr>
        <w:t>Послуги з капітального ремонту мікроавтобуса – Газ 32213 – 418</w:t>
      </w:r>
    </w:p>
    <w:p w14:paraId="7520BF48" w14:textId="70C6C230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 xml:space="preserve">ДК 021:2015: </w:t>
      </w:r>
      <w:r w:rsidR="00104907" w:rsidRPr="00104907">
        <w:rPr>
          <w:b/>
          <w:color w:val="000000" w:themeColor="text1"/>
          <w:sz w:val="24"/>
        </w:rPr>
        <w:t xml:space="preserve">50110000-9 — Послуги з ремонту і технічного обслуговування </w:t>
      </w:r>
      <w:proofErr w:type="spellStart"/>
      <w:r w:rsidR="00104907" w:rsidRPr="00104907">
        <w:rPr>
          <w:b/>
          <w:color w:val="000000" w:themeColor="text1"/>
          <w:sz w:val="24"/>
        </w:rPr>
        <w:t>мототранспортних</w:t>
      </w:r>
      <w:proofErr w:type="spellEnd"/>
      <w:r w:rsidR="00104907" w:rsidRPr="00104907">
        <w:rPr>
          <w:b/>
          <w:color w:val="000000" w:themeColor="text1"/>
          <w:sz w:val="24"/>
        </w:rPr>
        <w:t xml:space="preserve"> засобів і супутнього обладнання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75ED1CA3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E82E1E">
        <w:rPr>
          <w:b w:val="0"/>
        </w:rPr>
        <w:t>0</w:t>
      </w:r>
      <w:r w:rsidR="00104907">
        <w:rPr>
          <w:b w:val="0"/>
        </w:rPr>
        <w:t>5</w:t>
      </w:r>
      <w:r w:rsidR="00E82E1E">
        <w:rPr>
          <w:b w:val="0"/>
        </w:rPr>
        <w:t>.12</w:t>
      </w:r>
      <w:r w:rsidR="00BF322C">
        <w:rPr>
          <w:b w:val="0"/>
        </w:rPr>
        <w:t>.202</w:t>
      </w:r>
      <w:r w:rsidR="003423CC">
        <w:rPr>
          <w:b w:val="0"/>
        </w:rPr>
        <w:t xml:space="preserve">3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79BBDAE0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104907" w:rsidRPr="00104907">
        <w:rPr>
          <w:sz w:val="24"/>
          <w:szCs w:val="24"/>
        </w:rPr>
        <w:t>Послуги з капітального ремонту мікроавтобуса – Газ 32213 – 418</w:t>
      </w:r>
    </w:p>
    <w:p w14:paraId="24446031" w14:textId="565DE0DB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B00E59">
        <w:rPr>
          <w:color w:val="000000" w:themeColor="text1"/>
          <w:sz w:val="24"/>
          <w:szCs w:val="24"/>
        </w:rPr>
        <w:t>1 робота</w:t>
      </w:r>
    </w:p>
    <w:p w14:paraId="6E2AF9CF" w14:textId="6867C8E7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104907" w:rsidRPr="00104907">
        <w:rPr>
          <w:spacing w:val="-4"/>
          <w:sz w:val="24"/>
          <w:szCs w:val="24"/>
        </w:rPr>
        <w:t xml:space="preserve">62303, Україна, Харківська область, Дергачі, </w:t>
      </w:r>
      <w:proofErr w:type="spellStart"/>
      <w:r w:rsidR="00104907" w:rsidRPr="00104907">
        <w:rPr>
          <w:spacing w:val="-4"/>
          <w:sz w:val="24"/>
          <w:szCs w:val="24"/>
        </w:rPr>
        <w:t>вул.Сумський</w:t>
      </w:r>
      <w:proofErr w:type="spellEnd"/>
      <w:r w:rsidR="00104907" w:rsidRPr="00104907">
        <w:rPr>
          <w:spacing w:val="-4"/>
          <w:sz w:val="24"/>
          <w:szCs w:val="24"/>
        </w:rPr>
        <w:t xml:space="preserve"> шлях, будинок 6</w:t>
      </w:r>
    </w:p>
    <w:p w14:paraId="01BE7B61" w14:textId="54DD8ED4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104907" w:rsidRPr="00104907">
        <w:rPr>
          <w:spacing w:val="-21"/>
          <w:sz w:val="24"/>
          <w:szCs w:val="24"/>
        </w:rPr>
        <w:t>27 грудня 2023</w:t>
      </w:r>
      <w:r w:rsidR="00104907">
        <w:rPr>
          <w:spacing w:val="-21"/>
          <w:sz w:val="24"/>
          <w:szCs w:val="24"/>
        </w:rPr>
        <w:t xml:space="preserve"> </w:t>
      </w:r>
      <w:r w:rsidR="00E82E1E">
        <w:rPr>
          <w:spacing w:val="-21"/>
          <w:sz w:val="24"/>
          <w:szCs w:val="24"/>
        </w:rPr>
        <w:t>року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EBEB0F2" w14:textId="6E99A17F" w:rsidR="006D250D" w:rsidRDefault="00326DA8" w:rsidP="006D250D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104907" w:rsidRPr="00104907">
        <w:rPr>
          <w:sz w:val="24"/>
          <w:szCs w:val="24"/>
        </w:rPr>
        <w:t xml:space="preserve">З метою організації і забезпечення невідкладних потреб Управління </w:t>
      </w:r>
      <w:r w:rsidR="00104907">
        <w:rPr>
          <w:sz w:val="24"/>
          <w:szCs w:val="24"/>
        </w:rPr>
        <w:t xml:space="preserve">та підпорядкованих йому закладів </w:t>
      </w:r>
      <w:r w:rsidR="00104907" w:rsidRPr="00104907">
        <w:rPr>
          <w:sz w:val="24"/>
          <w:szCs w:val="24"/>
        </w:rPr>
        <w:t>на 2023 рік, існує потреба в капітально</w:t>
      </w:r>
      <w:r w:rsidR="00104907">
        <w:rPr>
          <w:sz w:val="24"/>
          <w:szCs w:val="24"/>
        </w:rPr>
        <w:t>му</w:t>
      </w:r>
      <w:r w:rsidR="00104907" w:rsidRPr="00104907">
        <w:rPr>
          <w:sz w:val="24"/>
          <w:szCs w:val="24"/>
        </w:rPr>
        <w:t xml:space="preserve"> ремонт</w:t>
      </w:r>
      <w:r w:rsidR="00104907">
        <w:rPr>
          <w:sz w:val="24"/>
          <w:szCs w:val="24"/>
        </w:rPr>
        <w:t>і</w:t>
      </w:r>
      <w:r w:rsidR="00104907" w:rsidRPr="00104907">
        <w:rPr>
          <w:sz w:val="24"/>
          <w:szCs w:val="24"/>
        </w:rPr>
        <w:t xml:space="preserve"> мікроавтобуса – Газ 32213 – 418.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1F67E734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104907" w:rsidRPr="00104907">
        <w:rPr>
          <w:sz w:val="24"/>
          <w:szCs w:val="24"/>
        </w:rPr>
        <w:t>UA-2023-12-05-019512-a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6A476CEF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1. Виконавець повинен дотримуватись порядку проведення ремонту автотранспортних засобів, який визначається вимогами:</w:t>
      </w:r>
    </w:p>
    <w:p w14:paraId="512AEBAF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експлуатаційної та технологічної документації заводу-виробника;</w:t>
      </w:r>
    </w:p>
    <w:p w14:paraId="76A070C3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Положення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30.03.1998р. №102;</w:t>
      </w:r>
    </w:p>
    <w:p w14:paraId="0412E107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28.11.2014р. № 615;</w:t>
      </w:r>
    </w:p>
    <w:p w14:paraId="634F8A81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ДСТУ 3649:2010 «Колісні транспорті засоби».</w:t>
      </w:r>
    </w:p>
    <w:p w14:paraId="7D816335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2.  Передача автобуса Виконавцю для проведення ремонту проводиться з представниками Замовника на території Замовника. Транспортування автобусу до СТО здійснює Виконавець за власний рахунок.  </w:t>
      </w:r>
    </w:p>
    <w:p w14:paraId="67C7DB1E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3.  З метою забезпечення надання повного спектру Послуг за однією </w:t>
      </w:r>
      <w:proofErr w:type="spellStart"/>
      <w:r w:rsidRPr="00104907">
        <w:rPr>
          <w:sz w:val="24"/>
          <w:szCs w:val="24"/>
        </w:rPr>
        <w:t>адресою</w:t>
      </w:r>
      <w:proofErr w:type="spellEnd"/>
      <w:r w:rsidRPr="00104907">
        <w:rPr>
          <w:sz w:val="24"/>
          <w:szCs w:val="24"/>
        </w:rPr>
        <w:t xml:space="preserve"> Учасника, СТО Учасника повинна відповідати нижче вказаним вимогам Замовника, мати власне (або орендоване та/або на іншому праві власності користування) приміщення та обладнання для ремонту та обслуговування за однією </w:t>
      </w:r>
      <w:proofErr w:type="spellStart"/>
      <w:r w:rsidRPr="00104907">
        <w:rPr>
          <w:sz w:val="24"/>
          <w:szCs w:val="24"/>
        </w:rPr>
        <w:t>адресою</w:t>
      </w:r>
      <w:proofErr w:type="spellEnd"/>
      <w:r w:rsidRPr="00104907">
        <w:rPr>
          <w:sz w:val="24"/>
          <w:szCs w:val="24"/>
        </w:rPr>
        <w:t xml:space="preserve"> (Замовник має право додатково перевірити відповідність Учасника вказаним вимогам, про що Учасник має надати гарантійний лист про згоду на перевірку):</w:t>
      </w:r>
    </w:p>
    <w:p w14:paraId="792DF944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оглядова канава довжиною не менше 5 метрів;</w:t>
      </w:r>
    </w:p>
    <w:p w14:paraId="73C0B111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lastRenderedPageBreak/>
        <w:t xml:space="preserve">- стенд для регулювання кутів розвалу і сходження коліс для автобусів; </w:t>
      </w:r>
    </w:p>
    <w:p w14:paraId="4255D3AF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траверса вантажопідйомністю не менше 10т;</w:t>
      </w:r>
    </w:p>
    <w:p w14:paraId="71A6B9D0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</w:t>
      </w:r>
      <w:proofErr w:type="spellStart"/>
      <w:r w:rsidRPr="00104907">
        <w:rPr>
          <w:sz w:val="24"/>
          <w:szCs w:val="24"/>
        </w:rPr>
        <w:t>випресовщик</w:t>
      </w:r>
      <w:proofErr w:type="spellEnd"/>
      <w:r w:rsidRPr="00104907">
        <w:rPr>
          <w:sz w:val="24"/>
          <w:szCs w:val="24"/>
        </w:rPr>
        <w:t xml:space="preserve"> </w:t>
      </w:r>
      <w:proofErr w:type="spellStart"/>
      <w:r w:rsidRPr="00104907">
        <w:rPr>
          <w:sz w:val="24"/>
          <w:szCs w:val="24"/>
        </w:rPr>
        <w:t>шкворенів</w:t>
      </w:r>
      <w:proofErr w:type="spellEnd"/>
      <w:r w:rsidRPr="00104907">
        <w:rPr>
          <w:sz w:val="24"/>
          <w:szCs w:val="24"/>
        </w:rPr>
        <w:t>;</w:t>
      </w:r>
    </w:p>
    <w:p w14:paraId="24334737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верстат токарний;</w:t>
      </w:r>
    </w:p>
    <w:p w14:paraId="5E3FDD20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обладнання для зварювальних робіт;</w:t>
      </w:r>
    </w:p>
    <w:p w14:paraId="5312EDCA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підйомник, </w:t>
      </w:r>
      <w:proofErr w:type="spellStart"/>
      <w:r w:rsidRPr="00104907">
        <w:rPr>
          <w:sz w:val="24"/>
          <w:szCs w:val="24"/>
        </w:rPr>
        <w:t>вантажопід’ємністю</w:t>
      </w:r>
      <w:proofErr w:type="spellEnd"/>
      <w:r w:rsidRPr="00104907">
        <w:rPr>
          <w:sz w:val="24"/>
          <w:szCs w:val="24"/>
        </w:rPr>
        <w:t xml:space="preserve"> не менше 2,5 т.; </w:t>
      </w:r>
    </w:p>
    <w:p w14:paraId="18393E12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комп'ютерний стенд для діагностики ходової частини; </w:t>
      </w:r>
    </w:p>
    <w:p w14:paraId="670EEA4A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комп'ютерний стенд для регулювання кутів розвалу і сходження коліс; </w:t>
      </w:r>
    </w:p>
    <w:p w14:paraId="423F0A1A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обладнання для діагностики і ремонту гальмівних систем, АВS; </w:t>
      </w:r>
    </w:p>
    <w:p w14:paraId="07734C88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обладнання для діагностики та ремонту електрообладнання;</w:t>
      </w:r>
    </w:p>
    <w:p w14:paraId="6D4BC303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обладнання для діагностики та очищення форсунок інжекторів зі зняттям;</w:t>
      </w:r>
    </w:p>
    <w:p w14:paraId="0E85407B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обладнання для діагностики та очищення форсунок інжекторів без зняття;</w:t>
      </w:r>
    </w:p>
    <w:p w14:paraId="290761DD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обладнання для ремонту та діагностики автоматичних та механічних коробок передач; </w:t>
      </w:r>
    </w:p>
    <w:p w14:paraId="1B421116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гальмівний стенд для перевірки гальмівних сил; </w:t>
      </w:r>
    </w:p>
    <w:p w14:paraId="50963C80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пристрій для заміни гальмівної рідини;</w:t>
      </w:r>
    </w:p>
    <w:p w14:paraId="2E9BED97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обладнання для перевірки паливної системи;</w:t>
      </w:r>
    </w:p>
    <w:p w14:paraId="2EF693B2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обладнання для ремонту та чистки дизельних  паливних систем; </w:t>
      </w:r>
    </w:p>
    <w:p w14:paraId="448CE556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обладнання для діагностики системи керування;</w:t>
      </w:r>
    </w:p>
    <w:p w14:paraId="6C46EDA1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пристрій для зливу та заміни мастил;</w:t>
      </w:r>
    </w:p>
    <w:p w14:paraId="78172E13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обладнання для аварійного запуску двигуна та зарядки акумуляторних </w:t>
      </w:r>
      <w:proofErr w:type="spellStart"/>
      <w:r w:rsidRPr="00104907">
        <w:rPr>
          <w:sz w:val="24"/>
          <w:szCs w:val="24"/>
        </w:rPr>
        <w:t>батарей</w:t>
      </w:r>
      <w:proofErr w:type="spellEnd"/>
      <w:r w:rsidRPr="00104907">
        <w:rPr>
          <w:sz w:val="24"/>
          <w:szCs w:val="24"/>
        </w:rPr>
        <w:t xml:space="preserve"> (пусковий-зарядний пристрій).</w:t>
      </w:r>
    </w:p>
    <w:p w14:paraId="2C4F8105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4. СТО Учасника повинна мати:</w:t>
      </w:r>
    </w:p>
    <w:p w14:paraId="011568DF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1) власний або орендований склад автозапчастин, витратних матеріалів, за однією </w:t>
      </w:r>
      <w:proofErr w:type="spellStart"/>
      <w:r w:rsidRPr="00104907">
        <w:rPr>
          <w:sz w:val="24"/>
          <w:szCs w:val="24"/>
        </w:rPr>
        <w:t>адресою</w:t>
      </w:r>
      <w:proofErr w:type="spellEnd"/>
      <w:r w:rsidRPr="00104907">
        <w:rPr>
          <w:sz w:val="24"/>
          <w:szCs w:val="24"/>
        </w:rPr>
        <w:t xml:space="preserve"> місцезнаходження приміщень СТО, із запасом запчастин відповідно до номенклатурного переліку Замовника;</w:t>
      </w:r>
    </w:p>
    <w:p w14:paraId="2D64F480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2) відповідну організаційну структуру (приймальний відділ, відділ запчастин, особу, відповідальну за якість наданих послуг); </w:t>
      </w:r>
    </w:p>
    <w:p w14:paraId="1504A2E7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3) кваліфікований у відповідності з видами послуг персонал, обов’язково у штаті Учасника мають бути працівники, які відповідають за такі напрямки роботи:</w:t>
      </w:r>
    </w:p>
    <w:p w14:paraId="6DEA3312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приймальник замовлень – 1 працівник;</w:t>
      </w:r>
    </w:p>
    <w:p w14:paraId="4CB6361B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майстер або слюсар з ремонту  – не менше 2 працівників;</w:t>
      </w:r>
    </w:p>
    <w:p w14:paraId="05469615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майстер або слюсар з ремонту електрообладнання - 1 працівник;</w:t>
      </w:r>
    </w:p>
    <w:p w14:paraId="7FF86929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приймальник виконаних робіт (посадова особа, яка відповідальна за якість наданих </w:t>
      </w:r>
      <w:proofErr w:type="spellStart"/>
      <w:r w:rsidRPr="00104907">
        <w:rPr>
          <w:sz w:val="24"/>
          <w:szCs w:val="24"/>
        </w:rPr>
        <w:t>послгу</w:t>
      </w:r>
      <w:proofErr w:type="spellEnd"/>
      <w:r w:rsidRPr="00104907">
        <w:rPr>
          <w:sz w:val="24"/>
          <w:szCs w:val="24"/>
        </w:rPr>
        <w:t>) – 1 працівник;</w:t>
      </w:r>
    </w:p>
    <w:p w14:paraId="77E7394F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5. Надання Послуг Виконавець повинен здійснювати з використанням власних запасних частин і витратних матеріалів, необхідних для ремонту автобуса, які допущені до використання заводом-виробником автобусів, та бути новими, тобто такими, які не були у користуванні. Замінені запасні частини повинні бути виключно новими (раніше не використаними та не відновлювальними), виготовленими не раніше 2023 року. </w:t>
      </w:r>
    </w:p>
    <w:p w14:paraId="7C8E8FCB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6.  Залишки розхідних матеріалів рідини системи охолодження, олив та мастил повинні бути передані Замовнику.</w:t>
      </w:r>
    </w:p>
    <w:p w14:paraId="042F67F2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7. Залишки замінених (відпрацьованих та не придатних до подальшого використання) гумових виробів Замовнику не передаються.</w:t>
      </w:r>
    </w:p>
    <w:p w14:paraId="29B35282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8. Запасні частини, що були замінені, повертаються Замовнику в натурному вигляді при передачі автобуса після ремонту.</w:t>
      </w:r>
      <w:r w:rsidRPr="00104907">
        <w:rPr>
          <w:sz w:val="24"/>
          <w:szCs w:val="24"/>
        </w:rPr>
        <w:tab/>
      </w:r>
    </w:p>
    <w:p w14:paraId="5F71036A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9. Гарантійний строк експлуатації на встановлені на автобус Замовника деталі (запасні частини) та надані послуги терміном 24 місяців з дати передачі автобуса Замовнику відповідно до Акту прийому-передачі наданих послуг чи 20 000 км пробігу, в залежності, що настане раніше, але з врахуванням наступного:</w:t>
      </w:r>
    </w:p>
    <w:p w14:paraId="0D9CF093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на «регулювальні роботи» – двадцять діб або не більше 1500 км пробігу;</w:t>
      </w:r>
    </w:p>
    <w:p w14:paraId="58C5DC91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на ремонт ходової частини – три місяці або 15 000 км пробігу.</w:t>
      </w:r>
    </w:p>
    <w:p w14:paraId="39AB841D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Заміна запасних частин, що вийшли з ладу протягом дії гарантії, та послуги з ремонту здійснюється Виконавцем за власний рахунок. На замінені під час гарантії деталі поширюється гарантія, починаючи з дати такої заміни.</w:t>
      </w:r>
    </w:p>
    <w:p w14:paraId="03F8136C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10. СТО має бути розташоване в радіусі 50 км. від з метою забезпечення можливістю візуального контролю Замовником етапів  надання послуг.</w:t>
      </w:r>
    </w:p>
    <w:p w14:paraId="5F0DC344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11. Спеціалізоване ліцензійне програмне забезпечення для підбору і правильного використання запчастин, інтервалів та трудомісткості чергового обслуговування та/або ремонту, </w:t>
      </w:r>
      <w:r w:rsidRPr="00104907">
        <w:rPr>
          <w:sz w:val="24"/>
          <w:szCs w:val="24"/>
        </w:rPr>
        <w:lastRenderedPageBreak/>
        <w:t>технології їх ремонту та діагностики (Учасник має надати гарантійний лист про підтвердження наявності);</w:t>
      </w:r>
    </w:p>
    <w:p w14:paraId="2E08E7EA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12. Спеціалізоване ліцензійне програмне забезпечення для проведення діагностики двигуна і електрообладнання (Учасник має надати гарантійний лист про підтвердження наявності);</w:t>
      </w:r>
    </w:p>
    <w:p w14:paraId="26B5B82D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13. З метою координування та супроводження ремонту автобусу Замовника, призначити відповідальну особу для інформаційно-технічної підтримки (Учасник має надати довідку з контактами);</w:t>
      </w:r>
    </w:p>
    <w:p w14:paraId="24676AB8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14. У разі виявлення недоліків у наданих Послугах під час прийняття автобусу Замовником Учасник забезпечує: </w:t>
      </w:r>
    </w:p>
    <w:p w14:paraId="2E75DC8D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безоплатне усунення недоліків; </w:t>
      </w:r>
    </w:p>
    <w:p w14:paraId="7A9AE08A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зменшення вартості наданих послуг відповідно до завданих збитків чи повернення коштів замовнику; </w:t>
      </w:r>
    </w:p>
    <w:p w14:paraId="22A50DBD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 xml:space="preserve">- безоплатне виконання послуг чи відшкодування замовнику витрат, пов’язаних з усуненням недоліків з наданих послуг; </w:t>
      </w:r>
    </w:p>
    <w:p w14:paraId="310CCC06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- забезпечити виконання інших обов’язків виконавця, встановлених законодавством про захист прав споживачів.</w:t>
      </w:r>
    </w:p>
    <w:p w14:paraId="52FBDD24" w14:textId="77777777" w:rsidR="00104907" w:rsidRPr="00104907" w:rsidRDefault="00104907" w:rsidP="00104907">
      <w:pPr>
        <w:pStyle w:val="a6"/>
        <w:ind w:firstLine="709"/>
        <w:jc w:val="both"/>
        <w:rPr>
          <w:sz w:val="24"/>
          <w:szCs w:val="24"/>
        </w:rPr>
      </w:pPr>
      <w:r w:rsidRPr="00104907">
        <w:rPr>
          <w:sz w:val="24"/>
          <w:szCs w:val="24"/>
        </w:rPr>
        <w:t>15 Для підтвердження відповідності умовам надання Послуг, учасник у складі своєї тендерної пропозиції повинен також надати:</w:t>
      </w:r>
    </w:p>
    <w:p w14:paraId="10F25B91" w14:textId="235F9B8D" w:rsidR="005043B8" w:rsidRPr="005043B8" w:rsidRDefault="00104907" w:rsidP="00104907">
      <w:pPr>
        <w:pStyle w:val="a6"/>
        <w:ind w:firstLine="709"/>
        <w:jc w:val="both"/>
        <w:rPr>
          <w:bCs/>
          <w:sz w:val="24"/>
          <w:szCs w:val="24"/>
        </w:rPr>
      </w:pPr>
      <w:r w:rsidRPr="00104907">
        <w:rPr>
          <w:sz w:val="24"/>
          <w:szCs w:val="24"/>
        </w:rPr>
        <w:t xml:space="preserve">гарантійний лист, складений в довільній формі, в якому учаснику необхідно гарантувати про те, що надання Послуг буде провадитися з урахуванням вимог Закону України "Про дорожній рух" від 30.06.1993 року № 3353-XII (із змінами), Закону України "Про автомобільний транспорт" від 05.04.2001 № 2344-III (із змінами), Закону України "Про захист прав споживачів" від 12.05.1991 року № 1023-XII (із змінами), наказу Міністерства інфраструктури України від 28 листопада 2014 № 615 "Про затвердження Правил надання послуг з технічного обслуговування і ремонту колісних транспортних засобів", наказу Міністерства інфраструктури України від 26 липня 2013 року № 550 "Про затвердження Правил експлуатації колісних транспортних засобів", наказу Міністерства інфраструктури України від 26 липня 2013 року № 549 "Про затвердження Правил технічної експлуатації коліс та пневматичних шин колісних транспортних засобів категорій L, M, N, O та спеціальних машин, виконаних на їх шасі", наказу Міністерства транспорту та зв’язку України від 02 липня 2008 року № 795 "Про затвердження Правил експлуатування акумуляторних свинцевих </w:t>
      </w:r>
      <w:proofErr w:type="spellStart"/>
      <w:r w:rsidRPr="00104907">
        <w:rPr>
          <w:sz w:val="24"/>
          <w:szCs w:val="24"/>
        </w:rPr>
        <w:t>стартерних</w:t>
      </w:r>
      <w:proofErr w:type="spellEnd"/>
      <w:r w:rsidRPr="00104907">
        <w:rPr>
          <w:sz w:val="24"/>
          <w:szCs w:val="24"/>
        </w:rPr>
        <w:t xml:space="preserve"> </w:t>
      </w:r>
      <w:proofErr w:type="spellStart"/>
      <w:r w:rsidRPr="00104907">
        <w:rPr>
          <w:sz w:val="24"/>
          <w:szCs w:val="24"/>
        </w:rPr>
        <w:t>батарей</w:t>
      </w:r>
      <w:proofErr w:type="spellEnd"/>
      <w:r w:rsidRPr="00104907">
        <w:rPr>
          <w:sz w:val="24"/>
          <w:szCs w:val="24"/>
        </w:rPr>
        <w:t xml:space="preserve"> колісних транспортних засобів і спеціальних машин, виконаних на колісних шасі" (із змінами)</w:t>
      </w:r>
    </w:p>
    <w:p w14:paraId="2B6487B2" w14:textId="77777777" w:rsidR="006D250D" w:rsidRPr="003423CC" w:rsidRDefault="006D250D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CE0387B" w14:textId="7AA2A83D" w:rsidR="003F50C2" w:rsidRPr="003F50C2" w:rsidRDefault="004C1A07" w:rsidP="003F50C2">
      <w:pPr>
        <w:pStyle w:val="a6"/>
        <w:ind w:firstLine="720"/>
        <w:jc w:val="both"/>
        <w:rPr>
          <w:sz w:val="24"/>
          <w:szCs w:val="24"/>
        </w:rPr>
      </w:pPr>
      <w:r w:rsidRPr="004C1A07">
        <w:rPr>
          <w:sz w:val="24"/>
          <w:szCs w:val="24"/>
        </w:rPr>
        <w:t xml:space="preserve">Очікувана вартість визначена </w:t>
      </w:r>
      <w:r w:rsidR="00104907">
        <w:rPr>
          <w:sz w:val="24"/>
          <w:szCs w:val="24"/>
        </w:rPr>
        <w:t>на підставі ро</w:t>
      </w:r>
      <w:r w:rsidR="00587B65">
        <w:rPr>
          <w:sz w:val="24"/>
          <w:szCs w:val="24"/>
        </w:rPr>
        <w:t xml:space="preserve">зрахункової вартості </w:t>
      </w:r>
      <w:r w:rsidR="00587B65" w:rsidRPr="004C1A07">
        <w:rPr>
          <w:sz w:val="24"/>
          <w:szCs w:val="24"/>
        </w:rPr>
        <w:t>предмета закупівлі</w:t>
      </w:r>
      <w:r w:rsidR="00587B65">
        <w:rPr>
          <w:sz w:val="24"/>
          <w:szCs w:val="24"/>
        </w:rPr>
        <w:t xml:space="preserve"> та аналізу ринку</w:t>
      </w:r>
      <w:r w:rsidRPr="004C1A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 xml:space="preserve">Очікувана ціна </w:t>
      </w:r>
      <w:r w:rsidR="00587B65">
        <w:rPr>
          <w:sz w:val="24"/>
          <w:szCs w:val="24"/>
        </w:rPr>
        <w:t>– 400 000,00</w:t>
      </w:r>
      <w:r w:rsidR="00A03ACE" w:rsidRPr="00A03ACE">
        <w:rPr>
          <w:sz w:val="24"/>
          <w:szCs w:val="24"/>
        </w:rPr>
        <w:t xml:space="preserve"> </w:t>
      </w:r>
      <w:r w:rsidRPr="004C1A07">
        <w:rPr>
          <w:sz w:val="24"/>
          <w:szCs w:val="24"/>
        </w:rPr>
        <w:t>грн.</w:t>
      </w:r>
    </w:p>
    <w:p w14:paraId="20E3B2A8" w14:textId="77777777" w:rsidR="007867F6" w:rsidRDefault="007867F6" w:rsidP="00502003">
      <w:pPr>
        <w:pStyle w:val="a6"/>
        <w:ind w:firstLine="720"/>
      </w:pP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04907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043B8"/>
    <w:rsid w:val="00522AF5"/>
    <w:rsid w:val="00552580"/>
    <w:rsid w:val="00574A68"/>
    <w:rsid w:val="00587B65"/>
    <w:rsid w:val="00592814"/>
    <w:rsid w:val="005B393C"/>
    <w:rsid w:val="005B6BA7"/>
    <w:rsid w:val="005F273B"/>
    <w:rsid w:val="005F6AA2"/>
    <w:rsid w:val="005F6F32"/>
    <w:rsid w:val="006A2A97"/>
    <w:rsid w:val="006C0FD0"/>
    <w:rsid w:val="006D250D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8E0B61"/>
    <w:rsid w:val="00961B39"/>
    <w:rsid w:val="009634D3"/>
    <w:rsid w:val="009A145B"/>
    <w:rsid w:val="009A1BA0"/>
    <w:rsid w:val="009E4F64"/>
    <w:rsid w:val="00A03ACE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05BD3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82E1E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8">
    <w:name w:val="header"/>
    <w:basedOn w:val="a"/>
    <w:link w:val="a9"/>
    <w:uiPriority w:val="99"/>
    <w:unhideWhenUsed/>
    <w:rsid w:val="005043B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5043B8"/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aa">
    <w:name w:val="Содержимое таблицы"/>
    <w:basedOn w:val="a"/>
    <w:rsid w:val="005043B8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6105</Words>
  <Characters>3481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2</cp:revision>
  <cp:lastPrinted>2023-09-18T11:47:00Z</cp:lastPrinted>
  <dcterms:created xsi:type="dcterms:W3CDTF">2023-12-13T07:55:00Z</dcterms:created>
  <dcterms:modified xsi:type="dcterms:W3CDTF">2023-12-13T07:55:00Z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