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A9F5" w14:textId="77777777" w:rsidR="00532D4F" w:rsidRDefault="00532D4F" w:rsidP="00532D4F">
      <w:pPr>
        <w:pStyle w:val="2"/>
        <w:spacing w:before="62" w:line="276" w:lineRule="exact"/>
        <w:ind w:left="2048" w:right="2065"/>
        <w:jc w:val="center"/>
      </w:pPr>
      <w:r>
        <w:t>ОБҐРУНТУВАННЯ № 6</w:t>
      </w:r>
    </w:p>
    <w:p w14:paraId="44EBD027" w14:textId="77777777" w:rsidR="00532D4F" w:rsidRPr="00B13208" w:rsidRDefault="00532D4F" w:rsidP="00532D4F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259D5232" w14:textId="77777777" w:rsidR="00532D4F" w:rsidRDefault="00532D4F" w:rsidP="00532D4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bookmarkStart w:id="0" w:name="_Hlk162001141"/>
      <w:r w:rsidRPr="005D32D1">
        <w:rPr>
          <w:b/>
          <w:color w:val="000000" w:themeColor="text1"/>
          <w:sz w:val="24"/>
        </w:rPr>
        <w:t xml:space="preserve">Оброблення вигрібних ям і відстійників відходів </w:t>
      </w:r>
    </w:p>
    <w:bookmarkEnd w:id="0"/>
    <w:p w14:paraId="1F66FC77" w14:textId="77777777" w:rsidR="00532D4F" w:rsidRDefault="00532D4F" w:rsidP="00532D4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ДК </w:t>
      </w:r>
      <w:r w:rsidRPr="00195534">
        <w:rPr>
          <w:b/>
          <w:color w:val="000000" w:themeColor="text1"/>
          <w:sz w:val="24"/>
        </w:rPr>
        <w:t>021:2015:90460000-9: Послуги зі спорожнення вигрібних ям і септиків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74D5DFD9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</w:t>
      </w:r>
      <w:r w:rsidR="005E7118" w:rsidRPr="00E634B3">
        <w:rPr>
          <w:b w:val="0"/>
          <w:bCs w:val="0"/>
        </w:rPr>
        <w:t>13.03.2024</w:t>
      </w:r>
      <w:r w:rsidRPr="00E634B3">
        <w:rPr>
          <w:b w:val="0"/>
          <w:bCs w:val="0"/>
        </w:rPr>
        <w:t>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138FA00A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532D4F" w:rsidRPr="00532D4F">
        <w:rPr>
          <w:sz w:val="24"/>
          <w:szCs w:val="24"/>
        </w:rPr>
        <w:t>Оброблення вигрібних ям і відстійників відходів</w:t>
      </w:r>
    </w:p>
    <w:p w14:paraId="24446031" w14:textId="741ECB5F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532D4F" w:rsidRPr="00532D4F">
        <w:rPr>
          <w:color w:val="000000" w:themeColor="text1"/>
          <w:sz w:val="24"/>
          <w:szCs w:val="24"/>
        </w:rPr>
        <w:t>1995 метри кубічні</w:t>
      </w:r>
    </w:p>
    <w:p w14:paraId="5BBF2739" w14:textId="604F4327" w:rsidR="00532D4F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532D4F" w:rsidRPr="00532D4F">
        <w:rPr>
          <w:spacing w:val="-4"/>
          <w:sz w:val="24"/>
          <w:szCs w:val="24"/>
        </w:rPr>
        <w:t xml:space="preserve">Заклади Управління освіти, культури, молоді та спорту Дергачівської міської ради, Дергачі, Харківська область, 62300, </w:t>
      </w:r>
      <w:r w:rsidR="00532D4F">
        <w:rPr>
          <w:spacing w:val="-4"/>
          <w:sz w:val="24"/>
          <w:szCs w:val="24"/>
        </w:rPr>
        <w:t>Україна</w:t>
      </w:r>
    </w:p>
    <w:p w14:paraId="01BE7B61" w14:textId="40D8E467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5E7118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F67F13A" w14:textId="77777777" w:rsidR="001A0231" w:rsidRDefault="005B393C" w:rsidP="001A0231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 xml:space="preserve">: </w:t>
      </w:r>
      <w:r w:rsidR="001A0231">
        <w:rPr>
          <w:sz w:val="24"/>
          <w:szCs w:val="24"/>
        </w:rPr>
        <w:t>ч</w:t>
      </w:r>
      <w:r w:rsidR="001A0231" w:rsidRPr="00A62194">
        <w:rPr>
          <w:sz w:val="24"/>
          <w:szCs w:val="24"/>
        </w:rPr>
        <w:t xml:space="preserve">инний </w:t>
      </w:r>
      <w:r w:rsidR="001A0231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1A0231" w:rsidRPr="00B00E59">
        <w:rPr>
          <w:sz w:val="24"/>
          <w:szCs w:val="24"/>
        </w:rPr>
        <w:t>закупівель</w:t>
      </w:r>
      <w:proofErr w:type="spellEnd"/>
      <w:r w:rsidR="001A0231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4E136F4" w14:textId="77777777" w:rsidR="00532D4F" w:rsidRDefault="00532D4F" w:rsidP="00022B73">
      <w:pPr>
        <w:pStyle w:val="a6"/>
        <w:jc w:val="both"/>
        <w:rPr>
          <w:sz w:val="24"/>
          <w:szCs w:val="24"/>
        </w:rPr>
      </w:pPr>
    </w:p>
    <w:p w14:paraId="042309AF" w14:textId="77777777" w:rsidR="007742BA" w:rsidRDefault="00326DA8" w:rsidP="007742BA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7742BA" w:rsidRPr="00532D4F">
        <w:rPr>
          <w:sz w:val="24"/>
          <w:szCs w:val="24"/>
        </w:rPr>
        <w:t>Управління освіти, культури, молоді та спорту Дергачівської міської ради, з метою забезпечення належного санітарного стану в закладах освіти та дотримання вимог санітарного регламенту (наказ МОЗ України від 25.09.2020 № 2205) проводить закупівлю послуг зі спорожнення вигрібних ям. З метою дотримання вимог діючого законодавства та державних санітарних норм та правил утримання територій населених місць (наказ МОЗ України від 17.03.2011 №145), за відсутності централізованого водовідведення рідкі відходи, допускається зберігати у вигрібних ямах (вигребах). Вигреби необхідно очищати у міру їх заповнення.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7A67423F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5E7118" w:rsidRPr="005E7118">
        <w:rPr>
          <w:sz w:val="24"/>
          <w:szCs w:val="24"/>
        </w:rPr>
        <w:t>UA-2024-03-13-00</w:t>
      </w:r>
      <w:r w:rsidR="001A0231">
        <w:rPr>
          <w:sz w:val="24"/>
          <w:szCs w:val="24"/>
        </w:rPr>
        <w:t>6463</w:t>
      </w:r>
      <w:r w:rsidR="005E7118" w:rsidRPr="005E7118">
        <w:rPr>
          <w:sz w:val="24"/>
          <w:szCs w:val="24"/>
        </w:rPr>
        <w:t>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1257CCD3" w14:textId="75473219" w:rsidR="00FB558A" w:rsidRPr="00885698" w:rsidRDefault="00FB558A" w:rsidP="00FB558A">
      <w:pPr>
        <w:contextualSpacing/>
        <w:jc w:val="both"/>
        <w:rPr>
          <w:sz w:val="24"/>
          <w:szCs w:val="24"/>
        </w:rPr>
      </w:pPr>
      <w:r w:rsidRPr="004D3824">
        <w:rPr>
          <w:sz w:val="24"/>
          <w:szCs w:val="24"/>
        </w:rPr>
        <w:t>Технічні та якісні характеристики предмету закупівлі, що закуповується, повинні відповідати технічним  умовам та стандартам, передбаченим законодавством України діючими на період надання послуг.</w:t>
      </w:r>
      <w:r>
        <w:rPr>
          <w:sz w:val="24"/>
          <w:szCs w:val="24"/>
        </w:rPr>
        <w:t xml:space="preserve"> </w:t>
      </w:r>
      <w:r w:rsidRPr="00885698">
        <w:rPr>
          <w:sz w:val="24"/>
          <w:szCs w:val="24"/>
        </w:rPr>
        <w:t>Учасник повинен дотримуватися правил «Про затвердження Державних санітарних норм та правил утримання територій населених місць», затверджених наказом Міністерства здоров’я України від 17.03.2011 р. №145.</w:t>
      </w:r>
    </w:p>
    <w:p w14:paraId="53D7609E" w14:textId="77777777" w:rsidR="00A705A1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6C5A7224" w14:textId="77777777" w:rsidR="001A0231" w:rsidRDefault="001A0231" w:rsidP="001A0231">
      <w:pPr>
        <w:jc w:val="both"/>
        <w:rPr>
          <w:sz w:val="24"/>
          <w:szCs w:val="24"/>
        </w:rPr>
      </w:pPr>
      <w:r w:rsidRPr="006B6AEB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«Інтернет» та отримання комерційних пропозицій від компаній, які спеціалізуються на послугах зазначеного предмета закупівлі (</w:t>
      </w:r>
      <w:r w:rsidRPr="006B6AEB">
        <w:rPr>
          <w:rFonts w:eastAsia="Calibri"/>
          <w:bCs/>
          <w:sz w:val="24"/>
          <w:szCs w:val="24"/>
        </w:rPr>
        <w:t>Предмет закупівлі:</w:t>
      </w:r>
      <w:r w:rsidRPr="006B6AEB">
        <w:rPr>
          <w:rFonts w:eastAsia="Calibri"/>
          <w:b/>
          <w:bCs/>
          <w:sz w:val="24"/>
          <w:szCs w:val="24"/>
        </w:rPr>
        <w:t xml:space="preserve"> </w:t>
      </w:r>
      <w:r w:rsidRPr="006B6AEB">
        <w:rPr>
          <w:rFonts w:eastAsia="Calibri"/>
          <w:sz w:val="24"/>
          <w:szCs w:val="24"/>
          <w:shd w:val="clear" w:color="auto" w:fill="FFFFFF"/>
        </w:rPr>
        <w:t xml:space="preserve">«Код ДК 021:2015 – </w:t>
      </w:r>
      <w:r w:rsidRPr="006B6AEB">
        <w:rPr>
          <w:rFonts w:eastAsia="Calibri"/>
          <w:sz w:val="24"/>
          <w:szCs w:val="24"/>
        </w:rPr>
        <w:t>90460000-9</w:t>
      </w:r>
      <w:r w:rsidRPr="006B6AEB">
        <w:rPr>
          <w:rFonts w:eastAsia="Calibri"/>
          <w:sz w:val="24"/>
          <w:szCs w:val="24"/>
          <w:shd w:val="clear" w:color="auto" w:fill="FFFFFF"/>
        </w:rPr>
        <w:t xml:space="preserve">– </w:t>
      </w:r>
      <w:r w:rsidRPr="006B6AEB">
        <w:rPr>
          <w:rFonts w:eastAsia="Calibri"/>
          <w:sz w:val="24"/>
          <w:szCs w:val="24"/>
        </w:rPr>
        <w:t>Послуги зі спорожнення вигрібних ям і септиків» (Оброблення вигрібних ям і відстійників відходів</w:t>
      </w:r>
      <w:r w:rsidRPr="006B6AEB">
        <w:rPr>
          <w:rFonts w:eastAsia="Calibri"/>
          <w:bCs/>
          <w:sz w:val="24"/>
          <w:szCs w:val="24"/>
        </w:rPr>
        <w:t>))</w:t>
      </w:r>
      <w:r>
        <w:rPr>
          <w:sz w:val="24"/>
          <w:szCs w:val="24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3274"/>
        <w:gridCol w:w="3292"/>
      </w:tblGrid>
      <w:tr w:rsidR="001A0231" w14:paraId="3ACB1C00" w14:textId="77777777" w:rsidTr="003278BF">
        <w:tc>
          <w:tcPr>
            <w:tcW w:w="3358" w:type="dxa"/>
          </w:tcPr>
          <w:p w14:paraId="64D9C730" w14:textId="77777777" w:rsidR="001A0231" w:rsidRPr="0014219E" w:rsidRDefault="001A0231" w:rsidP="003278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4219E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4219E">
              <w:rPr>
                <w:b/>
                <w:sz w:val="24"/>
                <w:szCs w:val="24"/>
              </w:rPr>
              <w:t>куб.метр</w:t>
            </w:r>
            <w:proofErr w:type="spellEnd"/>
          </w:p>
        </w:tc>
        <w:tc>
          <w:tcPr>
            <w:tcW w:w="3359" w:type="dxa"/>
          </w:tcPr>
          <w:p w14:paraId="11BB5CE0" w14:textId="77777777" w:rsidR="001A0231" w:rsidRDefault="001A0231" w:rsidP="0032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14219E">
              <w:rPr>
                <w:b/>
                <w:sz w:val="24"/>
                <w:szCs w:val="24"/>
              </w:rPr>
              <w:t>обсяг</w:t>
            </w:r>
          </w:p>
        </w:tc>
        <w:tc>
          <w:tcPr>
            <w:tcW w:w="3359" w:type="dxa"/>
          </w:tcPr>
          <w:p w14:paraId="5BE6A815" w14:textId="77777777" w:rsidR="001A0231" w:rsidRPr="0014219E" w:rsidRDefault="001A0231" w:rsidP="003278BF">
            <w:pPr>
              <w:rPr>
                <w:b/>
                <w:sz w:val="24"/>
                <w:szCs w:val="24"/>
              </w:rPr>
            </w:pPr>
            <w:r w:rsidRPr="001421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14219E">
              <w:rPr>
                <w:b/>
                <w:sz w:val="24"/>
                <w:szCs w:val="24"/>
              </w:rPr>
              <w:t>Очікувана вартість</w:t>
            </w:r>
          </w:p>
        </w:tc>
      </w:tr>
      <w:tr w:rsidR="001A0231" w14:paraId="533D32C5" w14:textId="77777777" w:rsidTr="003278BF">
        <w:tc>
          <w:tcPr>
            <w:tcW w:w="3358" w:type="dxa"/>
          </w:tcPr>
          <w:p w14:paraId="1CFDF4D5" w14:textId="6460F514" w:rsidR="001A0231" w:rsidRDefault="001A0231" w:rsidP="0032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≈ 282,00 грн</w:t>
            </w:r>
          </w:p>
        </w:tc>
        <w:tc>
          <w:tcPr>
            <w:tcW w:w="3359" w:type="dxa"/>
          </w:tcPr>
          <w:p w14:paraId="55A65822" w14:textId="183B51B6" w:rsidR="001A0231" w:rsidRDefault="001A0231" w:rsidP="0032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1995</w:t>
            </w:r>
            <w:r w:rsidRPr="001421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14:paraId="698FF880" w14:textId="713E0403" w:rsidR="001A0231" w:rsidRDefault="001A0231" w:rsidP="001A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562 257,00</w:t>
            </w:r>
          </w:p>
        </w:tc>
      </w:tr>
    </w:tbl>
    <w:p w14:paraId="5A49A70E" w14:textId="77777777" w:rsidR="003F50C2" w:rsidRDefault="003F50C2" w:rsidP="001A0231">
      <w:pPr>
        <w:pStyle w:val="a6"/>
        <w:ind w:firstLine="720"/>
        <w:jc w:val="both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102AFF"/>
    <w:rsid w:val="0011738E"/>
    <w:rsid w:val="001252D3"/>
    <w:rsid w:val="00152ABA"/>
    <w:rsid w:val="00157A70"/>
    <w:rsid w:val="00172DA2"/>
    <w:rsid w:val="001733AC"/>
    <w:rsid w:val="001A0231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0CE0"/>
    <w:rsid w:val="00291FE9"/>
    <w:rsid w:val="002B7A59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32D4F"/>
    <w:rsid w:val="00552580"/>
    <w:rsid w:val="00574A68"/>
    <w:rsid w:val="0059190B"/>
    <w:rsid w:val="00592814"/>
    <w:rsid w:val="005B393C"/>
    <w:rsid w:val="005B6BA7"/>
    <w:rsid w:val="005E7118"/>
    <w:rsid w:val="005F273B"/>
    <w:rsid w:val="005F6AA2"/>
    <w:rsid w:val="005F6F32"/>
    <w:rsid w:val="00606118"/>
    <w:rsid w:val="006A2A97"/>
    <w:rsid w:val="006C0FD0"/>
    <w:rsid w:val="006F5386"/>
    <w:rsid w:val="00700E60"/>
    <w:rsid w:val="00721C27"/>
    <w:rsid w:val="007574D9"/>
    <w:rsid w:val="007669B6"/>
    <w:rsid w:val="007742BA"/>
    <w:rsid w:val="007867F6"/>
    <w:rsid w:val="007B3134"/>
    <w:rsid w:val="007B517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D43B0"/>
    <w:rsid w:val="00BF322C"/>
    <w:rsid w:val="00C048C5"/>
    <w:rsid w:val="00C11CFA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634B3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B558A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4</cp:revision>
  <cp:lastPrinted>2024-03-22T10:19:00Z</cp:lastPrinted>
  <dcterms:created xsi:type="dcterms:W3CDTF">2024-03-22T10:03:00Z</dcterms:created>
  <dcterms:modified xsi:type="dcterms:W3CDTF">2024-04-01T08:31:00Z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